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2.xml" ContentType="application/vnd.openxmlformats-officedocument.wordprocessingml.footer+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png" ContentType="image/png"/>
  <Override PartName="/word/footer29.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footer5.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header20.xml" ContentType="application/vnd.openxmlformats-officedocument.wordprocessingml.header+xml"/>
  <Override PartName="/word/header9.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6.xml.rels" ContentType="application/vnd.openxmlformats-package.relationships+xml"/>
  <Override PartName="/word/_rels/footer44.xml.rels" ContentType="application/vnd.openxmlformats-package.relationships+xml"/>
  <Override PartName="/word/_rels/document.xml.rels" ContentType="application/vnd.openxmlformats-package.relationships+xml"/>
  <Override PartName="/word/_rels/footer22.xml.rels" ContentType="application/vnd.openxmlformats-package.relationships+xml"/>
  <Override PartName="/word/_rels/footer50.xml.rels" ContentType="application/vnd.openxmlformats-package.relationships+xml"/>
  <Override PartName="/word/_rels/footer1.xml.rels" ContentType="application/vnd.openxmlformats-package.relationships+xml"/>
  <Override PartName="/word/_rels/footer2.xml.rels" ContentType="application/vnd.openxmlformats-package.relationships+xml"/>
  <Override PartName="/word/_rels/footer30.xml.rels" ContentType="application/vnd.openxmlformats-package.relationships+xml"/>
  <Override PartName="/word/_rels/footer52.xml.rels" ContentType="application/vnd.openxmlformats-package.relationships+xml"/>
  <Override PartName="/word/_rels/footer4.xml.rels" ContentType="application/vnd.openxmlformats-package.relationships+xml"/>
  <Override PartName="/word/_rels/footer10.xml.rels" ContentType="application/vnd.openxmlformats-package.relationships+xml"/>
  <Override PartName="/word/_rels/footer32.xml.rels" ContentType="application/vnd.openxmlformats-package.relationships+xml"/>
  <Override PartName="/word/_rels/footer12.xml.rels" ContentType="application/vnd.openxmlformats-package.relationships+xml"/>
  <Override PartName="/word/_rels/footer34.xml.rels" ContentType="application/vnd.openxmlformats-package.relationships+xml"/>
  <Override PartName="/word/_rels/footer8.xml.rels" ContentType="application/vnd.openxmlformats-package.relationships+xml"/>
  <Override PartName="/word/_rels/footer14.xml.rels" ContentType="application/vnd.openxmlformats-package.relationships+xml"/>
  <Override PartName="/word/_rels/footer36.xml.rels" ContentType="application/vnd.openxmlformats-package.relationships+xml"/>
  <Override PartName="/word/_rels/footer16.xml.rels" ContentType="application/vnd.openxmlformats-package.relationships+xml"/>
  <Override PartName="/word/_rels/footer38.xml.rels" ContentType="application/vnd.openxmlformats-package.relationships+xml"/>
  <Override PartName="/word/_rels/footer18.xml.rels" ContentType="application/vnd.openxmlformats-package.relationships+xml"/>
  <Override PartName="/word/_rels/footer20.xml.rels" ContentType="application/vnd.openxmlformats-package.relationships+xml"/>
  <Override PartName="/word/_rels/footer42.xml.rels" ContentType="application/vnd.openxmlformats-package.relationships+xml"/>
  <Override PartName="/word/_rels/footer24.xml.rels" ContentType="application/vnd.openxmlformats-package.relationships+xml"/>
  <Override PartName="/word/_rels/footer46.xml.rels" ContentType="application/vnd.openxmlformats-package.relationships+xml"/>
  <Override PartName="/word/_rels/footer26.xml.rels" ContentType="application/vnd.openxmlformats-package.relationships+xml"/>
  <Override PartName="/word/_rels/footer48.xml.rels" ContentType="application/vnd.openxmlformats-package.relationships+xml"/>
  <Override PartName="/word/_rels/footer28.xml.rels" ContentType="application/vnd.openxmlformats-package.relationships+xml"/>
  <Override PartName="/word/_rels/footer40.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lang w:val="sr-RS"/>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Style w:val="Strong"/>
                <w:color w:val="000000"/>
                <w:sz w:val="48"/>
                <w:szCs w:val="48"/>
              </w:rPr>
              <w:t xml:space="preserve">ОДЛУКA О БУЏЕТУ ОПШТИНЕ </w:t>
            </w:r>
            <w:r>
              <w:rPr>
                <w:rStyle w:val="Strong"/>
                <w:color w:val="000000"/>
                <w:sz w:val="48"/>
                <w:szCs w:val="48"/>
                <w:lang w:val="sr-RS"/>
              </w:rPr>
              <w:t>АРИЉЕ</w:t>
            </w:r>
          </w:p>
          <w:p>
            <w:pPr>
              <w:pStyle w:val="NormalWeb"/>
              <w:spacing w:before="280" w:after="280"/>
              <w:jc w:val="center"/>
              <w:rPr>
                <w:color w:val="000000"/>
                <w:sz w:val="20"/>
                <w:szCs w:val="20"/>
              </w:rPr>
            </w:pPr>
            <w:r>
              <w:rPr>
                <w:rStyle w:val="Strong"/>
                <w:color w:val="000000"/>
                <w:sz w:val="48"/>
                <w:szCs w:val="48"/>
              </w:rPr>
              <w:t>ЗА 2026. ГОДИНУ</w:t>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jc w:val="center"/>
              <w:rPr>
                <w:color w:val="000000"/>
                <w:sz w:val="20"/>
                <w:szCs w:val="20"/>
              </w:rPr>
            </w:pPr>
            <w:r>
              <w:rPr/>
            </w:r>
          </w:p>
          <w:p>
            <w:pPr>
              <w:pStyle w:val="NormalWeb"/>
              <w:spacing w:before="280" w:after="280"/>
              <w:rPr>
                <w:color w:val="000000"/>
                <w:sz w:val="20"/>
                <w:szCs w:val="20"/>
              </w:rPr>
            </w:pPr>
            <w:r>
              <w:rPr/>
            </w:r>
          </w:p>
          <w:p>
            <w:pPr>
              <w:pStyle w:val="NormalWeb"/>
              <w:spacing w:before="280" w:after="280"/>
              <w:rPr>
                <w:color w:val="000000"/>
                <w:sz w:val="20"/>
                <w:szCs w:val="20"/>
              </w:rPr>
            </w:pPr>
            <w:r>
              <w:rPr/>
            </w:r>
          </w:p>
          <w:p>
            <w:pPr>
              <w:pStyle w:val="NormalWeb"/>
              <w:spacing w:before="280" w:after="280"/>
              <w:rPr>
                <w:color w:val="000000"/>
                <w:sz w:val="20"/>
                <w:szCs w:val="20"/>
                <w:lang w:val="sr-RS"/>
              </w:rPr>
            </w:pPr>
            <w:r>
              <w:rPr/>
            </w:r>
          </w:p>
          <w:p>
            <w:pPr>
              <w:pStyle w:val="NormalWeb"/>
              <w:spacing w:before="280" w:after="280"/>
              <w:jc w:val="center"/>
              <w:rPr>
                <w:rStyle w:val="Strong"/>
                <w:color w:val="000000"/>
                <w:sz w:val="20"/>
                <w:szCs w:val="20"/>
                <w:lang w:val="sr-RS"/>
              </w:rPr>
            </w:pPr>
            <w:r>
              <w:rPr>
                <w:color w:val="000000"/>
                <w:sz w:val="20"/>
                <w:szCs w:val="20"/>
                <w:lang w:val="sr-RS"/>
              </w:rPr>
            </w:r>
          </w:p>
          <w:p>
            <w:pPr>
              <w:pStyle w:val="NormalWeb"/>
              <w:spacing w:before="280" w:after="280"/>
              <w:jc w:val="center"/>
              <w:rPr>
                <w:rStyle w:val="Strong"/>
                <w:color w:val="000000"/>
                <w:sz w:val="20"/>
                <w:szCs w:val="20"/>
                <w:lang w:val="sr-RS"/>
              </w:rPr>
            </w:pPr>
            <w:r>
              <w:rPr/>
            </w:r>
          </w:p>
          <w:p>
            <w:pPr>
              <w:pStyle w:val="NormalWeb"/>
              <w:spacing w:before="280" w:after="280"/>
              <w:ind w:firstLine="720"/>
              <w:jc w:val="both"/>
              <w:rPr>
                <w:rStyle w:val="Strong"/>
                <w:b w:val="false"/>
                <w:bCs w:val="false"/>
                <w:color w:val="000000"/>
                <w:lang w:val="sr-Latn-RS"/>
              </w:rPr>
            </w:pPr>
            <w:r>
              <w:rPr>
                <w:color w:val="000000"/>
              </w:rPr>
              <w:t xml:space="preserve">На основу члана 43. Закона о буџетском систему („Службени гласник РС", број 54/2009, 73/2010, 101/2010, 101/2011, 93/2012, 62/2013, 63/2013 - исправка, 108/2013, 142/2014, 68/2015 - др. закон, 103/2015, 99/2016, 113/2017, 95/2018, 31/2019, 72/2019, 149/2020, 118/2021, 118/2021 - др. закон, 138/2022, 92/2023 и 94/2024), члана 32. </w:t>
            </w:r>
            <w:r>
              <w:rPr>
                <w:color w:val="000000"/>
                <w:lang w:val="sr-RS"/>
              </w:rPr>
              <w:t xml:space="preserve">став 1. тачка 2. </w:t>
            </w:r>
            <w:r>
              <w:rPr>
                <w:color w:val="000000"/>
              </w:rPr>
              <w:t>Закона о локалној самоуправи („Службени гласник РС", број 129/07, 83/2014 - др. закон, 101/2016 - др. закон, 47/2018 и 111/2021 - др. закон) и члана</w:t>
            </w:r>
            <w:r>
              <w:rPr>
                <w:color w:val="000000"/>
                <w:lang w:val="sr-RS"/>
              </w:rPr>
              <w:t xml:space="preserve"> 40.</w:t>
            </w:r>
            <w:r>
              <w:rPr>
                <w:color w:val="000000"/>
              </w:rPr>
              <w:t xml:space="preserve"> Статута општине </w:t>
            </w:r>
            <w:r>
              <w:rPr>
                <w:color w:val="000000"/>
                <w:lang w:val="sr-RS"/>
              </w:rPr>
              <w:t>Ариље</w:t>
            </w:r>
            <w:r>
              <w:rPr>
                <w:color w:val="000000"/>
              </w:rPr>
              <w:t xml:space="preserve"> („Службени </w:t>
            </w:r>
            <w:r>
              <w:rPr>
                <w:color w:val="000000"/>
                <w:lang w:val="sr-RS"/>
              </w:rPr>
              <w:t>гласник</w:t>
            </w:r>
            <w:r>
              <w:rPr>
                <w:color w:val="000000"/>
              </w:rPr>
              <w:t xml:space="preserve"> општине </w:t>
            </w:r>
            <w:r>
              <w:rPr>
                <w:color w:val="000000"/>
                <w:lang w:val="sr-RS"/>
              </w:rPr>
              <w:t>Ариље</w:t>
            </w:r>
            <w:r>
              <w:rPr>
                <w:color w:val="000000"/>
              </w:rPr>
              <w:t xml:space="preserve">", број </w:t>
            </w:r>
            <w:r>
              <w:rPr>
                <w:color w:val="000000"/>
                <w:lang w:val="sr-RS"/>
              </w:rPr>
              <w:t>13/2019</w:t>
            </w:r>
            <w:r>
              <w:rPr>
                <w:color w:val="000000"/>
              </w:rPr>
              <w:t xml:space="preserve">), Скупштина општине </w:t>
            </w:r>
            <w:r>
              <w:rPr>
                <w:color w:val="000000"/>
                <w:lang w:val="sr-RS"/>
              </w:rPr>
              <w:t>Ариље</w:t>
            </w:r>
            <w:r>
              <w:rPr>
                <w:color w:val="000000"/>
              </w:rPr>
              <w:t xml:space="preserve"> на седници одржаној _</w:t>
            </w:r>
            <w:r>
              <w:rPr>
                <w:color w:val="000000"/>
                <w:lang w:val="sr-RS"/>
              </w:rPr>
              <w:t>_.12.</w:t>
            </w:r>
            <w:r>
              <w:rPr>
                <w:color w:val="000000"/>
              </w:rPr>
              <w:t xml:space="preserve"> 2025. године, донела</w:t>
            </w:r>
            <w:r>
              <w:rPr>
                <w:color w:val="000000"/>
                <w:lang w:val="sr-RS"/>
              </w:rPr>
              <w:t xml:space="preserve"> је</w:t>
            </w:r>
          </w:p>
          <w:p>
            <w:pPr>
              <w:pStyle w:val="NormalWeb"/>
              <w:spacing w:before="280" w:after="280"/>
              <w:jc w:val="center"/>
              <w:rPr>
                <w:color w:val="000000"/>
                <w:sz w:val="20"/>
                <w:szCs w:val="20"/>
              </w:rPr>
            </w:pPr>
            <w:r>
              <w:rPr>
                <w:rStyle w:val="Strong"/>
                <w:color w:val="000000"/>
                <w:sz w:val="20"/>
                <w:szCs w:val="20"/>
              </w:rPr>
              <w:t xml:space="preserve">ОДЛУКУ О БУЏЕТУ ОПШТИНЕ </w:t>
            </w:r>
            <w:r>
              <w:rPr>
                <w:rStyle w:val="Strong"/>
                <w:color w:val="000000"/>
                <w:sz w:val="20"/>
                <w:szCs w:val="20"/>
                <w:lang w:val="sr-RS"/>
              </w:rPr>
              <w:t>АРИЉЕ</w:t>
            </w:r>
          </w:p>
          <w:p>
            <w:pPr>
              <w:pStyle w:val="NormalWeb"/>
              <w:spacing w:before="280" w:after="280"/>
              <w:jc w:val="center"/>
              <w:rPr>
                <w:color w:val="000000"/>
                <w:sz w:val="20"/>
                <w:szCs w:val="20"/>
                <w:lang w:val="sr-Latn-RS"/>
              </w:rPr>
            </w:pPr>
            <w:r>
              <w:rPr>
                <w:rStyle w:val="Strong"/>
                <w:color w:val="000000"/>
                <w:sz w:val="20"/>
                <w:szCs w:val="20"/>
              </w:rPr>
              <w:t xml:space="preserve"> </w:t>
            </w:r>
            <w:r>
              <w:rPr>
                <w:rStyle w:val="Strong"/>
                <w:color w:val="000000"/>
                <w:sz w:val="20"/>
                <w:szCs w:val="20"/>
              </w:rPr>
              <w:t>ЗА 2026. ГОДИНУ</w:t>
            </w:r>
          </w:p>
          <w:p>
            <w:pPr>
              <w:pStyle w:val="NormalWeb"/>
              <w:spacing w:before="280" w:after="280"/>
              <w:jc w:val="center"/>
              <w:rPr>
                <w:color w:val="000000"/>
                <w:sz w:val="20"/>
                <w:szCs w:val="20"/>
              </w:rPr>
            </w:pPr>
            <w:r>
              <w:rPr>
                <w:rStyle w:val="Strong"/>
                <w:color w:val="000000"/>
                <w:sz w:val="20"/>
                <w:szCs w:val="20"/>
              </w:rPr>
              <w:t>I ОПШТИ ДЕО</w:t>
            </w:r>
          </w:p>
          <w:p>
            <w:pPr>
              <w:pStyle w:val="NormalWeb"/>
              <w:spacing w:before="280" w:after="280"/>
              <w:jc w:val="center"/>
              <w:rPr>
                <w:b/>
                <w:color w:val="000000"/>
                <w:sz w:val="20"/>
                <w:szCs w:val="20"/>
              </w:rPr>
            </w:pPr>
            <w:r>
              <w:rPr>
                <w:b/>
                <w:color w:val="000000"/>
                <w:sz w:val="20"/>
                <w:szCs w:val="20"/>
              </w:rPr>
              <w:t>Члан 1.</w:t>
            </w:r>
          </w:p>
          <w:p>
            <w:pPr>
              <w:pStyle w:val="NormalWeb"/>
              <w:spacing w:before="280" w:after="280"/>
              <w:ind w:firstLine="720"/>
              <w:jc w:val="both"/>
              <w:rPr>
                <w:color w:val="000000"/>
                <w:sz w:val="22"/>
                <w:szCs w:val="22"/>
              </w:rPr>
            </w:pPr>
            <w:r>
              <w:rPr>
                <w:color w:val="000000"/>
                <w:sz w:val="22"/>
                <w:szCs w:val="22"/>
              </w:rPr>
              <w:t xml:space="preserve">Овом одлуком утврђује се буџет општине </w:t>
            </w:r>
            <w:r>
              <w:rPr>
                <w:color w:val="000000"/>
                <w:sz w:val="22"/>
                <w:szCs w:val="22"/>
                <w:lang w:val="sr-RS"/>
              </w:rPr>
              <w:t>Ариље</w:t>
            </w:r>
            <w:r>
              <w:rPr>
                <w:color w:val="000000"/>
                <w:sz w:val="22"/>
                <w:szCs w:val="22"/>
              </w:rPr>
              <w:t xml:space="preserve"> за 2026. годину (у даљем тексту: буџет), односно процењују се приходи и примања, те утврђују расходи и издаци буџета.</w:t>
            </w:r>
          </w:p>
          <w:p>
            <w:pPr>
              <w:pStyle w:val="NormalWeb"/>
              <w:spacing w:before="280" w:after="280"/>
              <w:ind w:firstLine="720"/>
              <w:jc w:val="both"/>
              <w:rPr>
                <w:color w:val="000000"/>
                <w:sz w:val="22"/>
                <w:szCs w:val="22"/>
              </w:rPr>
            </w:pPr>
            <w:r>
              <w:rPr>
                <w:color w:val="000000"/>
                <w:sz w:val="22"/>
                <w:szCs w:val="22"/>
              </w:rPr>
              <w:t xml:space="preserve">Овом одлуком уређује се и извршавање буџета, права и обавезе директних и индиректних корисника буџетских средстава општине </w:t>
            </w:r>
            <w:r>
              <w:rPr>
                <w:color w:val="000000"/>
                <w:sz w:val="22"/>
                <w:szCs w:val="22"/>
                <w:lang w:val="sr-RS"/>
              </w:rPr>
              <w:t>Ариље</w:t>
            </w:r>
            <w:r>
              <w:rPr>
                <w:color w:val="000000"/>
                <w:sz w:val="22"/>
                <w:szCs w:val="22"/>
              </w:rPr>
              <w:t xml:space="preserve"> и овлашћења извршних органа и Скупштине општине </w:t>
            </w:r>
            <w:r>
              <w:rPr>
                <w:color w:val="000000"/>
                <w:sz w:val="22"/>
                <w:szCs w:val="22"/>
                <w:lang w:val="sr-RS"/>
              </w:rPr>
              <w:t>Ариље</w:t>
            </w:r>
            <w:r>
              <w:rPr>
                <w:color w:val="000000"/>
                <w:sz w:val="22"/>
                <w:szCs w:val="22"/>
              </w:rPr>
              <w:t xml:space="preserve"> у поступку извршења буџета, коришћења наменских прихода и примања, управљање финансијском имовином, као и друга питања битна за извршење буџета.</w:t>
            </w:r>
          </w:p>
          <w:p>
            <w:pPr>
              <w:pStyle w:val="NormalWeb"/>
              <w:spacing w:before="280" w:after="280"/>
              <w:ind w:firstLine="720"/>
              <w:jc w:val="both"/>
              <w:rPr>
                <w:color w:val="000000"/>
                <w:sz w:val="22"/>
                <w:szCs w:val="22"/>
              </w:rPr>
            </w:pPr>
            <w:r>
              <w:rPr>
                <w:color w:val="000000"/>
                <w:sz w:val="22"/>
                <w:szCs w:val="22"/>
                <w:lang w:val="sr-RS"/>
              </w:rPr>
              <w:t>Приходи и примања, расходи и издаци б</w:t>
            </w:r>
            <w:r>
              <w:rPr>
                <w:color w:val="000000"/>
                <w:sz w:val="22"/>
                <w:szCs w:val="22"/>
              </w:rPr>
              <w:t>уџет</w:t>
            </w:r>
            <w:r>
              <w:rPr>
                <w:color w:val="000000"/>
                <w:sz w:val="22"/>
                <w:szCs w:val="22"/>
                <w:lang w:val="sr-RS"/>
              </w:rPr>
              <w:t>а</w:t>
            </w:r>
            <w:r>
              <w:rPr>
                <w:color w:val="000000"/>
                <w:sz w:val="22"/>
                <w:szCs w:val="22"/>
              </w:rPr>
              <w:t xml:space="preserve"> општине </w:t>
            </w:r>
            <w:r>
              <w:rPr>
                <w:color w:val="000000"/>
                <w:sz w:val="22"/>
                <w:szCs w:val="22"/>
                <w:lang w:val="sr-RS"/>
              </w:rPr>
              <w:t>Ариље за 2026. годину,</w:t>
            </w:r>
            <w:r>
              <w:rPr>
                <w:color w:val="000000"/>
                <w:sz w:val="22"/>
                <w:szCs w:val="22"/>
              </w:rPr>
              <w:t xml:space="preserve"> састој</w:t>
            </w:r>
            <w:r>
              <w:rPr>
                <w:color w:val="000000"/>
                <w:sz w:val="22"/>
                <w:szCs w:val="22"/>
                <w:lang w:val="sr-RS"/>
              </w:rPr>
              <w:t>е</w:t>
            </w:r>
            <w:r>
              <w:rPr>
                <w:color w:val="000000"/>
                <w:sz w:val="22"/>
                <w:szCs w:val="22"/>
              </w:rPr>
              <w:t xml:space="preserve"> се од:</w:t>
            </w:r>
          </w:p>
          <w:p>
            <w:pPr>
              <w:pStyle w:val="Normal"/>
              <w:spacing w:lineRule="atLeast" w:line="0"/>
              <w:rPr/>
            </w:pPr>
            <w:r>
              <w:rPr/>
            </w:r>
          </w:p>
        </w:tc>
      </w:tr>
    </w:tbl>
    <w:p>
      <w:pPr>
        <w:pStyle w:val="Normal"/>
        <w:rPr>
          <w:vanish/>
        </w:rPr>
      </w:pPr>
      <w:r>
        <w:rPr>
          <w:vanish/>
        </w:rPr>
      </w:r>
      <w:bookmarkStart w:id="0" w:name="__bookmark_2"/>
      <w:bookmarkStart w:id="1" w:name="__bookmark_2"/>
      <w:bookmarkEnd w:id="1"/>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235"/>
        <w:gridCol w:w="1949"/>
      </w:tblGrid>
      <w:tr>
        <w:trPr>
          <w:tblHeader w:val="true"/>
        </w:trPr>
        <w:tc>
          <w:tcPr>
            <w:tcW w:w="923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8"/>
                <w:szCs w:val="28"/>
              </w:rPr>
            </w:pPr>
            <w:r>
              <w:rPr>
                <w:b/>
                <w:bCs/>
                <w:color w:val="000000"/>
                <w:sz w:val="28"/>
                <w:szCs w:val="28"/>
              </w:rPr>
              <w:t>Опис</w:t>
            </w:r>
          </w:p>
        </w:tc>
        <w:tc>
          <w:tcPr>
            <w:tcW w:w="19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8"/>
                <w:szCs w:val="28"/>
              </w:rPr>
            </w:pPr>
            <w:r>
              <w:rPr>
                <w:b/>
                <w:bCs/>
                <w:color w:val="000000"/>
                <w:sz w:val="28"/>
                <w:szCs w:val="28"/>
              </w:rPr>
              <w:t>Износ</w:t>
            </w:r>
          </w:p>
        </w:tc>
      </w:tr>
      <w:tr>
        <w:trPr>
          <w:tblHeader w:val="true"/>
        </w:trPr>
        <w:tc>
          <w:tcPr>
            <w:tcW w:w="9235"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8"/>
                <w:szCs w:val="28"/>
              </w:rPr>
            </w:pPr>
            <w:r>
              <w:rPr>
                <w:color w:val="000000"/>
                <w:sz w:val="28"/>
                <w:szCs w:val="28"/>
              </w:rPr>
              <w:t>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8"/>
                <w:szCs w:val="28"/>
              </w:rPr>
            </w:pPr>
            <w:r>
              <w:rPr>
                <w:color w:val="000000"/>
                <w:sz w:val="28"/>
                <w:szCs w:val="28"/>
              </w:rPr>
              <w:t>2</w:t>
            </w:r>
          </w:p>
        </w:tc>
      </w:tr>
      <w:tr>
        <w:trPr/>
        <w:tc>
          <w:tcPr>
            <w:tcW w:w="9235" w:type="dxa"/>
            <w:tcBorders>
              <w:top w:val="single" w:sz="6" w:space="0" w:color="000000"/>
              <w:left w:val="single" w:sz="6" w:space="0" w:color="000000"/>
              <w:bottom w:val="single" w:sz="6" w:space="0" w:color="000000"/>
            </w:tcBorders>
            <w:shd w:color="auto" w:fill="F5F5F5" w:val="clear"/>
          </w:tcPr>
          <w:p>
            <w:pPr>
              <w:pStyle w:val="Normal"/>
              <w:rPr>
                <w:vanish/>
                <w:sz w:val="28"/>
                <w:szCs w:val="28"/>
              </w:rPr>
            </w:pPr>
            <w:r>
              <w:fldChar w:fldCharType="begin"/>
            </w:r>
            <w:r>
              <w:rPr>
                <w:sz w:val="28"/>
                <w:szCs w:val="28"/>
              </w:rPr>
              <w:instrText xml:space="preserve"> TC "1" \l 1 </w:instrText>
            </w:r>
            <w:r>
              <w:rPr>
                <w:sz w:val="28"/>
                <w:szCs w:val="28"/>
              </w:rPr>
              <w:fldChar w:fldCharType="separate"/>
            </w:r>
            <w:r>
              <w:rPr>
                <w:sz w:val="28"/>
                <w:szCs w:val="28"/>
              </w:rPr>
            </w:r>
            <w:r>
              <w:rPr>
                <w:sz w:val="28"/>
                <w:szCs w:val="28"/>
              </w:rPr>
              <w:fldChar w:fldCharType="end"/>
            </w:r>
          </w:p>
          <w:p>
            <w:pPr>
              <w:pStyle w:val="Normal"/>
              <w:rPr>
                <w:b/>
                <w:bCs/>
                <w:color w:val="000000"/>
                <w:sz w:val="28"/>
                <w:szCs w:val="28"/>
              </w:rPr>
            </w:pPr>
            <w:r>
              <w:rPr>
                <w:b/>
                <w:bCs/>
                <w:color w:val="000000"/>
                <w:sz w:val="28"/>
                <w:szCs w:val="28"/>
              </w:rPr>
              <w:t>А. РАЧУН ПРИХОДА И ПРИМАЊА, РАСХОДА И ИЗДАТАКА</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8"/>
                <w:szCs w:val="28"/>
              </w:rPr>
            </w:pPr>
            <w:r>
              <w:rPr>
                <w:sz w:val="28"/>
                <w:szCs w:val="28"/>
              </w:rPr>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1. Укупни приходи и примања од продаје нефинансијске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901.956.733,00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1.1. ТЕКУЋИ ПРИХОДИ</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900.946.733,00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1.2. ПРИМАЊА ОД ПРОДАЈЕ НЕФИНАНСИЈСКЕ ИМОВИН</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1.010.000,00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2. Укупни расходи и издаци за набавку нефинансијске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985.206.733,00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2.1. ТЕКУЋИ РАСХОДИ</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794.513.133,00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2.2. ИЗДАЦИ ЗА НАБАВКУ НЕФИНАНСИЈСКЕ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190.693.600,00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БУЏЕТСКИ СУФИЦИТ/ДЕФИЦИТ</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-83.250.000,00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3. Примања од продаје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4. Набавка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6.000.000,00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УКУПАН ФИСКАЛНИ СУФИЦИТ/ДЕФИЦИТ</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-89.250.000,00</w:t>
            </w:r>
          </w:p>
        </w:tc>
      </w:tr>
      <w:tr>
        <w:trPr/>
        <w:tc>
          <w:tcPr>
            <w:tcW w:w="9235" w:type="dxa"/>
            <w:tcBorders>
              <w:top w:val="single" w:sz="6" w:space="0" w:color="000000"/>
              <w:left w:val="single" w:sz="6" w:space="0" w:color="000000"/>
              <w:bottom w:val="single" w:sz="6" w:space="0" w:color="000000"/>
            </w:tcBorders>
            <w:shd w:color="auto" w:fill="F5F5F5" w:val="clear"/>
          </w:tcPr>
          <w:p>
            <w:pPr>
              <w:pStyle w:val="Normal"/>
              <w:rPr>
                <w:vanish/>
                <w:sz w:val="28"/>
                <w:szCs w:val="28"/>
              </w:rPr>
            </w:pPr>
            <w:r>
              <w:fldChar w:fldCharType="begin"/>
            </w:r>
            <w:r>
              <w:rPr>
                <w:sz w:val="28"/>
                <w:szCs w:val="28"/>
              </w:rPr>
              <w:instrText xml:space="preserve"> TC "2" \l 1 </w:instrText>
            </w:r>
            <w:r>
              <w:rPr>
                <w:sz w:val="28"/>
                <w:szCs w:val="28"/>
              </w:rPr>
              <w:fldChar w:fldCharType="separate"/>
            </w:r>
            <w:r>
              <w:rPr>
                <w:sz w:val="28"/>
                <w:szCs w:val="28"/>
              </w:rPr>
            </w:r>
            <w:r>
              <w:rPr>
                <w:sz w:val="28"/>
                <w:szCs w:val="28"/>
              </w:rPr>
              <w:fldChar w:fldCharType="end"/>
            </w:r>
          </w:p>
          <w:p>
            <w:pPr>
              <w:pStyle w:val="Normal"/>
              <w:rPr>
                <w:b/>
                <w:bCs/>
                <w:color w:val="000000"/>
                <w:sz w:val="28"/>
                <w:szCs w:val="28"/>
              </w:rPr>
            </w:pPr>
            <w:r>
              <w:rPr>
                <w:b/>
                <w:bCs/>
                <w:color w:val="000000"/>
                <w:sz w:val="28"/>
                <w:szCs w:val="28"/>
              </w:rPr>
              <w:t>Б. РАЧУН ФИНАНСИРАЊА</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8"/>
                <w:szCs w:val="28"/>
              </w:rPr>
            </w:pPr>
            <w:r>
              <w:rPr>
                <w:sz w:val="28"/>
                <w:szCs w:val="28"/>
              </w:rPr>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1. Примања од задуживања</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2. Примања од продаје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3. Неутрошена средства из претходних година</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89.250.000,00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4. Издаци за отплату главнице дуга</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5. Издаци за набавку финансијске имовине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6.000.000,00</w:t>
            </w:r>
          </w:p>
        </w:tc>
      </w:tr>
      <w:tr>
        <w:trPr/>
        <w:tc>
          <w:tcPr>
            <w:tcW w:w="9235" w:type="dxa"/>
            <w:tcBorders>
              <w:top w:val="single" w:sz="6" w:space="0" w:color="000000"/>
              <w:left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НЕТО ФИНАНСИРАЊЕ</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83.250.000,00</w:t>
            </w:r>
          </w:p>
        </w:tc>
      </w:tr>
    </w:tbl>
    <w:p>
      <w:pPr>
        <w:sectPr>
          <w:headerReference w:type="default" r:id="rId2"/>
          <w:footerReference w:type="default" r:id="rId3"/>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color w:val="000000"/>
        </w:rPr>
      </w:pPr>
      <w:r>
        <w:rPr>
          <w:color w:val="000000"/>
        </w:rPr>
        <w:t>Приходи и примања, расходи и издаци буџета утврђени су у следећим износима:</w:t>
      </w:r>
    </w:p>
    <w:p>
      <w:pPr>
        <w:pStyle w:val="Normal"/>
        <w:rPr>
          <w:color w:val="000000"/>
        </w:rPr>
      </w:pPr>
      <w:r>
        <w:rPr>
          <w:color w:val="000000"/>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449"/>
        <w:gridCol w:w="7886"/>
        <w:gridCol w:w="900"/>
        <w:gridCol w:w="1949"/>
      </w:tblGrid>
      <w:tr>
        <w:trPr>
          <w:tblHeader w:val="true"/>
        </w:trPr>
        <w:tc>
          <w:tcPr>
            <w:tcW w:w="8335"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bookmarkStart w:id="2" w:name="__bookmark_8"/>
            <w:bookmarkEnd w:id="2"/>
            <w:r>
              <w:rPr>
                <w:b/>
                <w:bCs/>
                <w:color w:val="000000"/>
                <w:sz w:val="24"/>
                <w:szCs w:val="24"/>
              </w:rPr>
              <w:t>Опис</w:t>
            </w:r>
          </w:p>
        </w:tc>
        <w:tc>
          <w:tcPr>
            <w:tcW w:w="9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Економ. класиф.</w:t>
            </w:r>
          </w:p>
        </w:tc>
        <w:tc>
          <w:tcPr>
            <w:tcW w:w="19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4"/>
                <w:szCs w:val="24"/>
              </w:rPr>
            </w:pPr>
            <w:r>
              <w:rPr>
                <w:b/>
                <w:bCs/>
                <w:color w:val="000000"/>
                <w:sz w:val="24"/>
                <w:szCs w:val="24"/>
              </w:rPr>
              <w:t>Износ</w:t>
            </w:r>
          </w:p>
        </w:tc>
      </w:tr>
      <w:tr>
        <w:trPr>
          <w:tblHeader w:val="true"/>
        </w:trPr>
        <w:tc>
          <w:tcPr>
            <w:tcW w:w="8335" w:type="dxa"/>
            <w:gridSpan w:val="2"/>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1</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3</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"1"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УКУПНИ ПРИХОДИ И 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901.956.733,00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Порески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731.839.100,00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Порез на доходак,  добит и капиталне добитке (осим самодоприноса)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522.9</w:t>
            </w:r>
            <w:r>
              <w:rPr>
                <w:color w:val="000000"/>
                <w:sz w:val="24"/>
                <w:szCs w:val="24"/>
                <w:lang w:val="sr-RS"/>
              </w:rPr>
              <w:t>6</w:t>
            </w:r>
            <w:r>
              <w:rPr>
                <w:color w:val="000000"/>
                <w:sz w:val="24"/>
                <w:szCs w:val="24"/>
              </w:rPr>
              <w:t>1.600,00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Самодопринос</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711180</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Порез на имовину</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121.841.000,00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Остали порески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43.536.500,00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1.5.</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Други порески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716</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43.500.000,00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Непорески приходи, у чему:</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63.291.596,00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поједине врсте накнада са одређеном наменом (наменски приходи)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приходи од продаје добара и услуга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Меморандумске ставке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77</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320.000,00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Донације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731+732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7.809.200,00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5.</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Трансфери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733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97.686.837,00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6.</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8</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1.010.000,00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"2"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УКУПНИ РАСХОДИ И ИЗДАЦИ ЗА НАБАВКУ НЕФИНАНСИЈСКЕ И ФИНАНСИЈСКЕ ИМОВИНЕ (ЗБИР 1+2+3)</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991.206.733,00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Текући расходи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794.513.133,00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Расходи за запослене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282.535.045,00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Коришћење роба и услуга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247.651.600,00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камата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44</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Субвенције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45</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23.000.000,00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1.5.</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Социјална заштита из буџета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47</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55.802.378,00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1.6.</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Остали расходи,  у чему:- средства резерви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48+49+464+465</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69.379.110,00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1.7.</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Трансфери</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463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116.145.000,00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Издаци за набавку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5</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190.693.600,00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Издаци за набавку финансијске имовине (осим 6211)</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6.000.000,00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"3"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ПРИМАЊА ОД ПРОДАЈЕ ФИНАНСИЈСКЕ ИМОВИНЕ И ЗАДУЖИВАЊА</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Примања по основу отплате кредита и продаје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Задуживање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Задуживање код домаћих кредитора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2.1.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Задуживање код страних кредитора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912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"4"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ОТПЛАТА ДУГА И 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spacing w:lineRule="atLeast" w:line="0"/>
              <w:rPr>
                <w:sz w:val="24"/>
                <w:szCs w:val="24"/>
              </w:rPr>
            </w:pPr>
            <w:r>
              <w:rPr>
                <w:sz w:val="24"/>
                <w:szCs w:val="24"/>
              </w:rPr>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rPr>
            </w:pPr>
            <w:r>
              <w:rPr>
                <w:b/>
                <w:bCs/>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3.1.</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 домаћим кредиторима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3.2.</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 страним кредиторима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612</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3.3.</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Отплата дуга по гаранцијама</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613</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24"/>
                <w:szCs w:val="24"/>
              </w:rPr>
            </w:pPr>
            <w:r>
              <w:rPr>
                <w:color w:val="000000"/>
                <w:sz w:val="24"/>
                <w:szCs w:val="24"/>
              </w:rPr>
              <w:t>4.</w:t>
            </w:r>
          </w:p>
        </w:tc>
        <w:tc>
          <w:tcPr>
            <w:tcW w:w="7886" w:type="dxa"/>
            <w:tcBorders>
              <w:top w:val="single" w:sz="6" w:space="0" w:color="000000"/>
              <w:bottom w:val="single" w:sz="6" w:space="0" w:color="000000"/>
              <w:right w:val="single" w:sz="6" w:space="0" w:color="000000"/>
            </w:tcBorders>
          </w:tcPr>
          <w:p>
            <w:pPr>
              <w:pStyle w:val="Normal"/>
              <w:rPr>
                <w:color w:val="000000"/>
                <w:sz w:val="24"/>
                <w:szCs w:val="24"/>
              </w:rPr>
            </w:pPr>
            <w:r>
              <w:rPr>
                <w:color w:val="000000"/>
                <w:sz w:val="24"/>
                <w:szCs w:val="24"/>
              </w:rPr>
              <w:t>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4"/>
                <w:szCs w:val="24"/>
              </w:rPr>
            </w:pPr>
            <w:r>
              <w:rPr>
                <w:color w:val="000000"/>
                <w:sz w:val="24"/>
                <w:szCs w:val="24"/>
              </w:rPr>
              <w:t>6211</w:t>
            </w:r>
          </w:p>
        </w:tc>
        <w:tc>
          <w:tcPr>
            <w:tcW w:w="19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4"/>
                <w:szCs w:val="24"/>
              </w:rPr>
            </w:pPr>
            <w:r>
              <w:rPr>
                <w:color w:val="000000"/>
                <w:sz w:val="24"/>
                <w:szCs w:val="24"/>
              </w:rPr>
              <w:t>0,00</w:t>
            </w:r>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"5"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lang w:val="sr-RS"/>
              </w:rPr>
            </w:pPr>
            <w:r>
              <w:rPr>
                <w:b/>
                <w:bCs/>
                <w:color w:val="000000"/>
                <w:sz w:val="24"/>
                <w:szCs w:val="24"/>
              </w:rPr>
              <w:t>НЕРАСПОРЕЂЕНИ ВИШАК ПРИХОДА ИЗ РАНИЈИХ ГОДИНА</w:t>
            </w:r>
            <w:r>
              <w:rPr>
                <w:b/>
                <w:bCs/>
                <w:color w:val="000000"/>
                <w:sz w:val="24"/>
                <w:szCs w:val="24"/>
                <w:lang w:val="sr-RS"/>
              </w:rPr>
              <w:t xml:space="preserve"> (класа 3, извор финансирања 13)</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24"/>
                <w:szCs w:val="24"/>
              </w:rPr>
            </w:pPr>
            <w:r>
              <w:rPr>
                <w:b/>
                <w:bCs/>
                <w:color w:val="000000"/>
                <w:sz w:val="24"/>
                <w:szCs w:val="24"/>
              </w:rPr>
              <w:t>3</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lang w:val="sr-RS"/>
              </w:rPr>
            </w:pPr>
            <w:r>
              <w:rPr>
                <w:b/>
                <w:bCs/>
                <w:color w:val="000000"/>
                <w:sz w:val="24"/>
                <w:szCs w:val="24"/>
                <w:lang w:val="sr-RS"/>
              </w:rPr>
              <w:t>17.000.000,00</w:t>
            </w:r>
            <w:bookmarkStart w:id="3" w:name="_Toc6"/>
            <w:bookmarkEnd w:id="3"/>
          </w:p>
        </w:tc>
      </w:tr>
      <w:tr>
        <w:trPr/>
        <w:tc>
          <w:tcPr>
            <w:tcW w:w="8335" w:type="dxa"/>
            <w:gridSpan w:val="2"/>
            <w:tcBorders>
              <w:top w:val="single" w:sz="6" w:space="0" w:color="000000"/>
              <w:left w:val="single" w:sz="6" w:space="0" w:color="000000"/>
              <w:bottom w:val="single" w:sz="6" w:space="0" w:color="000000"/>
            </w:tcBorders>
            <w:shd w:color="auto" w:fill="F5F5F5" w:val="clear"/>
          </w:tcPr>
          <w:p>
            <w:pPr>
              <w:pStyle w:val="Normal"/>
              <w:rPr>
                <w:vanish/>
                <w:sz w:val="24"/>
                <w:szCs w:val="24"/>
              </w:rPr>
            </w:pPr>
            <w:r>
              <w:fldChar w:fldCharType="begin"/>
            </w:r>
            <w:r>
              <w:rPr>
                <w:sz w:val="24"/>
                <w:szCs w:val="24"/>
              </w:rPr>
              <w:instrText xml:space="preserve"> TC "6"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 xml:space="preserve">НЕУТРОШЕНА СРЕДСТВА </w:t>
            </w:r>
            <w:r>
              <w:rPr>
                <w:b/>
                <w:bCs/>
                <w:color w:val="000000"/>
                <w:sz w:val="24"/>
                <w:szCs w:val="24"/>
                <w:lang w:val="sr-RS"/>
              </w:rPr>
              <w:t>ЗА ПОСЕБНЕ НАМЕНЕ</w:t>
            </w:r>
            <w:r>
              <w:rPr>
                <w:b/>
                <w:bCs/>
                <w:color w:val="000000"/>
                <w:sz w:val="24"/>
                <w:szCs w:val="24"/>
              </w:rPr>
              <w:t xml:space="preserve"> (класа 3,  извор финансирања 1</w:t>
            </w:r>
            <w:r>
              <w:rPr>
                <w:b/>
                <w:bCs/>
                <w:color w:val="000000"/>
                <w:sz w:val="24"/>
                <w:szCs w:val="24"/>
                <w:lang w:val="sr-RS"/>
              </w:rPr>
              <w:t>7</w:t>
            </w:r>
            <w:r>
              <w:rPr>
                <w:b/>
                <w:bCs/>
                <w:color w:val="000000"/>
                <w:sz w:val="24"/>
                <w:szCs w:val="24"/>
              </w:rPr>
              <w:t>)</w:t>
            </w:r>
          </w:p>
        </w:tc>
        <w:tc>
          <w:tcPr>
            <w:tcW w:w="9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24"/>
                <w:szCs w:val="24"/>
              </w:rPr>
            </w:pPr>
            <w:r>
              <w:rPr>
                <w:b/>
                <w:bCs/>
                <w:color w:val="000000"/>
                <w:sz w:val="24"/>
                <w:szCs w:val="24"/>
              </w:rPr>
              <w:t>3</w:t>
            </w:r>
          </w:p>
        </w:tc>
        <w:tc>
          <w:tcPr>
            <w:tcW w:w="19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24"/>
                <w:szCs w:val="24"/>
                <w:lang w:val="sr-RS"/>
              </w:rPr>
            </w:pPr>
            <w:r>
              <w:rPr>
                <w:b/>
                <w:bCs/>
                <w:color w:val="000000"/>
                <w:sz w:val="24"/>
                <w:szCs w:val="24"/>
                <w:lang w:val="sr-RS"/>
              </w:rPr>
              <w:t>72.250.000,00</w:t>
            </w:r>
          </w:p>
        </w:tc>
      </w:tr>
    </w:tbl>
    <w:p>
      <w:pPr>
        <w:sectPr>
          <w:headerReference w:type="default" r:id="rId4"/>
          <w:headerReference w:type="first" r:id="rId5"/>
          <w:footerReference w:type="default" r:id="rId6"/>
          <w:footerReference w:type="first" r:id="rId7"/>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b/>
                <w:color w:val="000000"/>
                <w:sz w:val="22"/>
                <w:szCs w:val="22"/>
                <w:lang w:val="sr-RS"/>
              </w:rPr>
            </w:pPr>
            <w:bookmarkStart w:id="4" w:name="__bookmark_11"/>
            <w:bookmarkEnd w:id="4"/>
            <w:r>
              <w:rPr>
                <w:b/>
                <w:color w:val="000000"/>
                <w:sz w:val="22"/>
                <w:szCs w:val="22"/>
              </w:rPr>
              <w:t>Члан 2.</w:t>
            </w:r>
          </w:p>
          <w:p>
            <w:pPr>
              <w:pStyle w:val="NormalWeb"/>
              <w:spacing w:before="280" w:after="280"/>
              <w:ind w:firstLine="720"/>
              <w:jc w:val="both"/>
              <w:rPr>
                <w:color w:val="000000"/>
                <w:sz w:val="22"/>
                <w:szCs w:val="22"/>
              </w:rPr>
            </w:pPr>
            <w:r>
              <w:rPr>
                <w:color w:val="000000"/>
                <w:sz w:val="22"/>
                <w:szCs w:val="22"/>
                <w:lang w:val="sr-RS"/>
              </w:rPr>
              <w:t>Планирано је да се п</w:t>
            </w:r>
            <w:r>
              <w:rPr>
                <w:color w:val="000000"/>
                <w:sz w:val="22"/>
                <w:szCs w:val="22"/>
              </w:rPr>
              <w:t>отребна средства за финансирање буџетског дефицита</w:t>
            </w:r>
            <w:r>
              <w:rPr>
                <w:color w:val="000000"/>
                <w:sz w:val="22"/>
                <w:szCs w:val="22"/>
                <w:lang w:val="sr-RS"/>
              </w:rPr>
              <w:t xml:space="preserve"> </w:t>
            </w:r>
            <w:r>
              <w:rPr>
                <w:color w:val="000000"/>
                <w:sz w:val="22"/>
                <w:szCs w:val="22"/>
              </w:rPr>
              <w:t xml:space="preserve">у износу од </w:t>
            </w:r>
            <w:r>
              <w:rPr>
                <w:color w:val="000000"/>
                <w:sz w:val="22"/>
                <w:szCs w:val="22"/>
                <w:lang w:val="sr-RS"/>
              </w:rPr>
              <w:t>83.250.000,00</w:t>
            </w:r>
            <w:r>
              <w:rPr>
                <w:color w:val="000000"/>
                <w:sz w:val="22"/>
                <w:szCs w:val="22"/>
              </w:rPr>
              <w:t xml:space="preserve"> динара,</w:t>
            </w:r>
            <w:r>
              <w:rPr>
                <w:color w:val="000000"/>
                <w:sz w:val="22"/>
                <w:szCs w:val="22"/>
                <w:lang w:val="sr-RS"/>
              </w:rPr>
              <w:t xml:space="preserve"> обезбеде из пренетих неутрошених средстава</w:t>
            </w:r>
            <w:r>
              <w:rPr>
                <w:color w:val="000000"/>
                <w:sz w:val="22"/>
                <w:szCs w:val="22"/>
              </w:rPr>
              <w:t xml:space="preserve"> </w:t>
            </w:r>
            <w:r>
              <w:rPr>
                <w:color w:val="000000"/>
                <w:sz w:val="22"/>
                <w:szCs w:val="22"/>
                <w:lang w:val="sr-RS"/>
              </w:rPr>
              <w:t>и</w:t>
            </w:r>
            <w:r>
              <w:rPr>
                <w:color w:val="000000"/>
                <w:sz w:val="22"/>
                <w:szCs w:val="22"/>
              </w:rPr>
              <w:t xml:space="preserve"> нераспоређеног вишка прихода из ранијих година.</w:t>
            </w:r>
          </w:p>
          <w:p>
            <w:pPr>
              <w:pStyle w:val="NormalWeb"/>
              <w:spacing w:before="280" w:after="280"/>
              <w:jc w:val="center"/>
              <w:rPr>
                <w:b/>
                <w:color w:val="000000"/>
                <w:sz w:val="22"/>
                <w:szCs w:val="22"/>
              </w:rPr>
            </w:pPr>
            <w:r>
              <w:rPr>
                <w:b/>
                <w:color w:val="000000"/>
                <w:sz w:val="22"/>
                <w:szCs w:val="22"/>
              </w:rPr>
              <w:t>Чл</w:t>
            </w:r>
            <w:r>
              <w:rPr>
                <w:b/>
                <w:color w:val="000000"/>
                <w:sz w:val="22"/>
                <w:szCs w:val="22"/>
                <w:lang w:val="sr-RS"/>
              </w:rPr>
              <w:t>а</w:t>
            </w:r>
            <w:r>
              <w:rPr>
                <w:b/>
                <w:color w:val="000000"/>
                <w:sz w:val="22"/>
                <w:szCs w:val="22"/>
              </w:rPr>
              <w:t>н 3.</w:t>
            </w:r>
          </w:p>
          <w:p>
            <w:pPr>
              <w:pStyle w:val="NormalWeb"/>
              <w:spacing w:before="280" w:after="280"/>
              <w:ind w:firstLine="720"/>
              <w:jc w:val="both"/>
              <w:rPr>
                <w:color w:val="000000"/>
                <w:sz w:val="22"/>
                <w:szCs w:val="22"/>
              </w:rPr>
            </w:pPr>
            <w:r>
              <w:rPr>
                <w:color w:val="000000"/>
                <w:sz w:val="22"/>
                <w:szCs w:val="22"/>
              </w:rPr>
              <w:t xml:space="preserve">Средства текуће буџетске резерве планирају се у буџету општине </w:t>
            </w:r>
            <w:r>
              <w:rPr>
                <w:color w:val="000000"/>
                <w:sz w:val="22"/>
                <w:szCs w:val="22"/>
                <w:lang w:val="sr-RS"/>
              </w:rPr>
              <w:t>Ариље</w:t>
            </w:r>
            <w:r>
              <w:rPr>
                <w:color w:val="000000"/>
                <w:sz w:val="22"/>
                <w:szCs w:val="22"/>
              </w:rPr>
              <w:t xml:space="preserve"> у износу од </w:t>
            </w:r>
            <w:r>
              <w:rPr>
                <w:color w:val="000000"/>
                <w:sz w:val="22"/>
                <w:szCs w:val="22"/>
                <w:lang w:val="sr-RS"/>
              </w:rPr>
              <w:t>10.000.000,00</w:t>
            </w:r>
            <w:r>
              <w:rPr>
                <w:color w:val="000000"/>
                <w:sz w:val="22"/>
                <w:szCs w:val="22"/>
              </w:rPr>
              <w:t xml:space="preserve"> динара.</w:t>
            </w:r>
          </w:p>
          <w:p>
            <w:pPr>
              <w:pStyle w:val="NormalWeb"/>
              <w:spacing w:before="280" w:after="280"/>
              <w:jc w:val="both"/>
              <w:rPr>
                <w:color w:val="000000"/>
                <w:sz w:val="22"/>
                <w:szCs w:val="22"/>
              </w:rPr>
            </w:pPr>
            <w:r>
              <w:rPr>
                <w:color w:val="000000"/>
                <w:sz w:val="22"/>
                <w:szCs w:val="22"/>
              </w:rPr>
              <w:t>Средства из става 1. овог члана користе се за непланиране сврхе за које нису утврђене апропријације или за сврхе за које се у току године покаже да апропријације нису биле довољне.</w:t>
            </w:r>
          </w:p>
          <w:p>
            <w:pPr>
              <w:pStyle w:val="NormalWeb"/>
              <w:spacing w:before="280" w:after="280"/>
              <w:jc w:val="both"/>
              <w:rPr>
                <w:color w:val="000000"/>
                <w:sz w:val="22"/>
                <w:szCs w:val="22"/>
              </w:rPr>
            </w:pPr>
            <w:r>
              <w:rPr>
                <w:color w:val="000000"/>
                <w:sz w:val="22"/>
                <w:szCs w:val="22"/>
              </w:rPr>
              <w:t>Општинско веће, на предлог локалног органа надлежног за финансије, доноси решење о употреби текуће буџетске резерве.</w:t>
            </w:r>
          </w:p>
          <w:p>
            <w:pPr>
              <w:pStyle w:val="NormalWeb"/>
              <w:spacing w:before="280" w:after="280"/>
              <w:jc w:val="center"/>
              <w:rPr>
                <w:b/>
                <w:color w:val="000000"/>
                <w:sz w:val="22"/>
                <w:szCs w:val="22"/>
              </w:rPr>
            </w:pPr>
            <w:r>
              <w:rPr>
                <w:b/>
                <w:color w:val="000000"/>
                <w:sz w:val="22"/>
                <w:szCs w:val="22"/>
              </w:rPr>
              <w:t>Члан 4.</w:t>
            </w:r>
          </w:p>
          <w:p>
            <w:pPr>
              <w:pStyle w:val="NormalWeb"/>
              <w:spacing w:before="280" w:after="280"/>
              <w:ind w:firstLine="720"/>
              <w:jc w:val="both"/>
              <w:rPr>
                <w:color w:val="000000"/>
                <w:sz w:val="22"/>
                <w:szCs w:val="22"/>
              </w:rPr>
            </w:pPr>
            <w:r>
              <w:rPr>
                <w:color w:val="000000"/>
                <w:sz w:val="22"/>
                <w:szCs w:val="22"/>
              </w:rPr>
              <w:t xml:space="preserve">Средства сталне буџетске резерве планирају се у буџету општине </w:t>
            </w:r>
            <w:r>
              <w:rPr>
                <w:color w:val="000000"/>
                <w:sz w:val="22"/>
                <w:szCs w:val="22"/>
                <w:lang w:val="sr-RS"/>
              </w:rPr>
              <w:t>Ариље</w:t>
            </w:r>
            <w:r>
              <w:rPr>
                <w:color w:val="000000"/>
                <w:sz w:val="22"/>
                <w:szCs w:val="22"/>
              </w:rPr>
              <w:t xml:space="preserve">  у износу од </w:t>
            </w:r>
            <w:r>
              <w:rPr>
                <w:color w:val="000000"/>
                <w:sz w:val="22"/>
                <w:szCs w:val="22"/>
                <w:lang w:val="sr-RS"/>
              </w:rPr>
              <w:t>300.000,00</w:t>
            </w:r>
            <w:r>
              <w:rPr>
                <w:color w:val="000000"/>
                <w:sz w:val="22"/>
                <w:szCs w:val="22"/>
              </w:rPr>
              <w:t xml:space="preserve"> динара и користе се у складу са чланом 70. Закона о буџетском систему.</w:t>
            </w:r>
          </w:p>
          <w:p>
            <w:pPr>
              <w:pStyle w:val="NormalWeb"/>
              <w:spacing w:before="280" w:after="280"/>
              <w:jc w:val="both"/>
              <w:rPr>
                <w:color w:val="000000"/>
                <w:sz w:val="22"/>
                <w:szCs w:val="22"/>
              </w:rPr>
            </w:pPr>
            <w:r>
              <w:rPr>
                <w:color w:val="000000"/>
                <w:sz w:val="22"/>
                <w:szCs w:val="22"/>
              </w:rPr>
              <w:t>Општинско веће, на предлог локалног органа надлежног за финансије, доноси решење о употреби сталне буџетске резерве.</w:t>
            </w:r>
          </w:p>
          <w:p>
            <w:pPr>
              <w:pStyle w:val="NormalWeb"/>
              <w:spacing w:before="280" w:after="280"/>
              <w:jc w:val="center"/>
              <w:rPr>
                <w:b/>
                <w:color w:val="000000"/>
                <w:sz w:val="22"/>
                <w:szCs w:val="22"/>
              </w:rPr>
            </w:pPr>
            <w:r>
              <w:rPr>
                <w:b/>
                <w:color w:val="000000"/>
                <w:sz w:val="22"/>
                <w:szCs w:val="22"/>
              </w:rPr>
              <w:t>Члан 5.</w:t>
            </w:r>
          </w:p>
          <w:p>
            <w:pPr>
              <w:pStyle w:val="NormalWeb"/>
              <w:spacing w:before="280" w:after="280"/>
              <w:ind w:firstLine="720"/>
              <w:jc w:val="both"/>
              <w:rPr>
                <w:color w:val="000000"/>
                <w:sz w:val="22"/>
                <w:szCs w:val="22"/>
              </w:rPr>
            </w:pPr>
            <w:r>
              <w:rPr>
                <w:color w:val="000000"/>
                <w:sz w:val="22"/>
                <w:szCs w:val="22"/>
              </w:rPr>
              <w:t xml:space="preserve">Расходи и издаци из члана 1. ове </w:t>
            </w:r>
            <w:r>
              <w:rPr>
                <w:color w:val="000000"/>
                <w:sz w:val="22"/>
                <w:szCs w:val="22"/>
                <w:lang w:val="sr-RS"/>
              </w:rPr>
              <w:t>О</w:t>
            </w:r>
            <w:r>
              <w:rPr>
                <w:color w:val="000000"/>
                <w:sz w:val="22"/>
                <w:szCs w:val="22"/>
              </w:rPr>
              <w:t>длуке користе се за следеће програме:</w:t>
            </w:r>
          </w:p>
          <w:p>
            <w:pPr>
              <w:pStyle w:val="Normal"/>
              <w:spacing w:lineRule="atLeast" w:line="0"/>
              <w:rPr>
                <w:sz w:val="22"/>
                <w:szCs w:val="22"/>
              </w:rPr>
            </w:pPr>
            <w:r>
              <w:rPr>
                <w:sz w:val="22"/>
                <w:szCs w:val="22"/>
              </w:rPr>
            </w:r>
          </w:p>
        </w:tc>
      </w:tr>
    </w:tbl>
    <w:p>
      <w:pPr>
        <w:pStyle w:val="Normal"/>
        <w:rPr>
          <w:vanish/>
          <w:lang w:val="sr-RS"/>
        </w:rPr>
      </w:pPr>
      <w:bookmarkStart w:id="5" w:name="__bookmark_12"/>
      <w:bookmarkEnd w:id="5"/>
      <w:r>
        <w:rPr>
          <w:lang w:val="sr-RS"/>
        </w:rPr>
        <w:t xml:space="preserve"> </w:t>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449"/>
        <w:gridCol w:w="8936"/>
        <w:gridCol w:w="1800"/>
      </w:tblGrid>
      <w:tr>
        <w:trPr>
          <w:tblHeader w:val="true"/>
          <w:trHeight w:val="276" w:hRule="atLeast"/>
        </w:trPr>
        <w:tc>
          <w:tcPr>
            <w:tcW w:w="11185" w:type="dxa"/>
            <w:gridSpan w:val="3"/>
            <w:tcBorders/>
          </w:tcPr>
          <w:p>
            <w:pPr>
              <w:pStyle w:val="Normal"/>
              <w:jc w:val="center"/>
              <w:rPr>
                <w:b/>
                <w:bCs/>
                <w:color w:val="000000"/>
                <w:sz w:val="24"/>
                <w:szCs w:val="24"/>
              </w:rPr>
            </w:pPr>
            <w:r>
              <w:rPr>
                <w:b/>
                <w:bCs/>
                <w:color w:val="000000"/>
                <w:sz w:val="24"/>
                <w:szCs w:val="24"/>
              </w:rPr>
              <w:t>ПЛАН РАСХОДА ПО ПРОГРАМИМА</w:t>
            </w:r>
          </w:p>
        </w:tc>
      </w:tr>
      <w:tr>
        <w:trPr>
          <w:tblHeader w:val="true"/>
          <w:trHeight w:val="230" w:hRule="atLeast"/>
        </w:trPr>
        <w:tc>
          <w:tcPr>
            <w:tcW w:w="11185" w:type="dxa"/>
            <w:gridSpan w:val="3"/>
            <w:tcBorders/>
          </w:tcPr>
          <w:tbl>
            <w:tblPr>
              <w:tblW w:w="1118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449" w:type="dxa"/>
            <w:tcBorders/>
          </w:tcPr>
          <w:p>
            <w:pPr>
              <w:pStyle w:val="Normal"/>
              <w:spacing w:lineRule="atLeast" w:line="0"/>
              <w:jc w:val="center"/>
              <w:rPr/>
            </w:pPr>
            <w:r>
              <w:rPr/>
            </w:r>
          </w:p>
        </w:tc>
        <w:tc>
          <w:tcPr>
            <w:tcW w:w="8936"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8"/>
                <w:szCs w:val="28"/>
              </w:rPr>
            </w:pPr>
            <w:r>
              <w:rPr>
                <w:b/>
                <w:bCs/>
                <w:color w:val="000000"/>
                <w:sz w:val="28"/>
                <w:szCs w:val="28"/>
              </w:rPr>
              <w:t>Назив програма</w:t>
            </w:r>
          </w:p>
        </w:tc>
        <w:tc>
          <w:tcPr>
            <w:tcW w:w="18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28"/>
                <w:szCs w:val="28"/>
              </w:rPr>
            </w:pPr>
            <w:r>
              <w:rPr>
                <w:b/>
                <w:bCs/>
                <w:color w:val="000000"/>
                <w:sz w:val="28"/>
                <w:szCs w:val="28"/>
              </w:rPr>
              <w:t>Износ</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10.000.000,00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2</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43.260.000,00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3</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5.441.680,00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4</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РАЗВОЈ ТУРИЗМА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5</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ПОЉОПРИВРЕДА И РУРАЛНИ РАЗВОЈ</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12.300.000,00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6</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36.053.000,00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7</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213.200.000,00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8</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207.754.885,00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9</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85.834.000,00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10</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СРЕДЊЕ ОБРАЗОВАЊЕ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19.842.000,00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11</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38.817.578,00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12</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2.800.000,00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13</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37.607.610,00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14</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46.097.470,00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15</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203.422.100,00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16</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24.276.410,00</w:t>
            </w:r>
          </w:p>
        </w:tc>
      </w:tr>
      <w:tr>
        <w:trPr/>
        <w:tc>
          <w:tcPr>
            <w:tcW w:w="449" w:type="dxa"/>
            <w:tcBorders>
              <w:top w:val="single" w:sz="6" w:space="0" w:color="000000"/>
              <w:left w:val="single" w:sz="6" w:space="0" w:color="000000"/>
              <w:bottom w:val="single" w:sz="6" w:space="0" w:color="000000"/>
            </w:tcBorders>
          </w:tcPr>
          <w:p>
            <w:pPr>
              <w:pStyle w:val="Normal"/>
              <w:rPr>
                <w:color w:val="000000"/>
                <w:sz w:val="16"/>
                <w:szCs w:val="16"/>
              </w:rPr>
            </w:pPr>
            <w:r>
              <w:rPr>
                <w:color w:val="000000"/>
                <w:sz w:val="16"/>
                <w:szCs w:val="16"/>
              </w:rPr>
              <w:t>17</w:t>
            </w:r>
          </w:p>
        </w:tc>
        <w:tc>
          <w:tcPr>
            <w:tcW w:w="8936" w:type="dxa"/>
            <w:tcBorders>
              <w:top w:val="single" w:sz="6" w:space="0" w:color="000000"/>
              <w:bottom w:val="single" w:sz="6" w:space="0" w:color="000000"/>
              <w:right w:val="single" w:sz="6" w:space="0" w:color="000000"/>
            </w:tcBorders>
          </w:tcPr>
          <w:p>
            <w:pPr>
              <w:pStyle w:val="Normal"/>
              <w:rPr>
                <w:color w:val="000000"/>
                <w:sz w:val="28"/>
                <w:szCs w:val="28"/>
              </w:rPr>
            </w:pPr>
            <w:r>
              <w:rPr>
                <w:color w:val="000000"/>
                <w:sz w:val="28"/>
                <w:szCs w:val="28"/>
              </w:rPr>
              <w:t>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8"/>
                <w:szCs w:val="28"/>
              </w:rPr>
            </w:pPr>
            <w:r>
              <w:rPr>
                <w:color w:val="000000"/>
                <w:sz w:val="28"/>
                <w:szCs w:val="28"/>
              </w:rPr>
              <w:t>4.500.000,00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28"/>
                <w:szCs w:val="28"/>
              </w:rPr>
            </w:pPr>
            <w:r>
              <w:rPr>
                <w:b/>
                <w:bCs/>
                <w:color w:val="000000"/>
                <w:sz w:val="28"/>
                <w:szCs w:val="28"/>
              </w:rPr>
              <w:t>Укупно за БК</w:t>
            </w:r>
          </w:p>
        </w:tc>
        <w:tc>
          <w:tcPr>
            <w:tcW w:w="18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28"/>
                <w:szCs w:val="28"/>
              </w:rPr>
            </w:pPr>
            <w:r>
              <w:rPr>
                <w:b/>
                <w:bCs/>
                <w:color w:val="000000"/>
                <w:sz w:val="28"/>
                <w:szCs w:val="28"/>
              </w:rPr>
              <w:t>991.206.733,00</w:t>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6" w:name="__bookmark_13"/>
            <w:bookmarkStart w:id="7" w:name="__bookmark_13"/>
            <w:bookmarkEnd w:id="7"/>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0"/>
              <w:ind w:firstLine="720"/>
              <w:jc w:val="both"/>
              <w:rPr/>
            </w:pPr>
            <w:r>
              <w:rPr/>
            </w:r>
            <w:bookmarkStart w:id="8" w:name="__bookmark_14"/>
            <w:bookmarkStart w:id="9" w:name="__bookmark_14"/>
            <w:bookmarkEnd w:id="9"/>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0" w:name="__bookmark_15"/>
            <w:bookmarkStart w:id="11" w:name="__bookmark_15"/>
            <w:bookmarkEnd w:id="11"/>
          </w:p>
          <w:p>
            <w:pPr>
              <w:pStyle w:val="Normal"/>
              <w:spacing w:lineRule="atLeast" w:line="0"/>
              <w:rPr/>
            </w:pPr>
            <w:r>
              <w:rPr/>
            </w:r>
          </w:p>
        </w:tc>
      </w:tr>
    </w:tbl>
    <w:p>
      <w:pPr>
        <w:pStyle w:val="Normal"/>
        <w:rPr>
          <w:color w:val="000000"/>
        </w:rPr>
      </w:pPr>
      <w:r>
        <w:rPr>
          <w:color w:val="000000"/>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2" w:name="__bookmark_17"/>
            <w:bookmarkStart w:id="13" w:name="__bookmark_17"/>
            <w:bookmarkEnd w:id="13"/>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4" w:name="__bookmark_18"/>
            <w:bookmarkStart w:id="15" w:name="__bookmark_18"/>
            <w:bookmarkEnd w:id="15"/>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6" w:name="__bookmark_19"/>
            <w:bookmarkStart w:id="17" w:name="__bookmark_19"/>
            <w:bookmarkEnd w:id="17"/>
          </w:p>
          <w:p>
            <w:pPr>
              <w:pStyle w:val="Normal"/>
              <w:spacing w:lineRule="atLeast" w:line="0"/>
              <w:rPr/>
            </w:pPr>
            <w:r>
              <w:rPr/>
            </w:r>
          </w:p>
        </w:tc>
      </w:tr>
    </w:tbl>
    <w:p>
      <w:pPr>
        <w:pStyle w:val="Normal"/>
        <w:rPr>
          <w:color w:val="000000"/>
        </w:rPr>
      </w:pPr>
      <w:r>
        <w:rPr>
          <w:color w:val="000000"/>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18" w:name="__bookmark_21"/>
            <w:bookmarkStart w:id="19" w:name="__bookmark_21"/>
            <w:bookmarkEnd w:id="19"/>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pPr>
            <w:r>
              <w:rPr/>
            </w:r>
            <w:bookmarkStart w:id="20" w:name="__bookmark_22"/>
            <w:bookmarkStart w:id="21" w:name="__bookmark_22"/>
            <w:bookmarkEnd w:id="21"/>
          </w:p>
          <w:p>
            <w:pPr>
              <w:pStyle w:val="Normal"/>
              <w:spacing w:lineRule="atLeast" w:line="0"/>
              <w:rPr/>
            </w:pPr>
            <w:r>
              <w:rPr/>
            </w:r>
          </w:p>
        </w:tc>
      </w:tr>
    </w:tbl>
    <w:p>
      <w:pPr>
        <w:pStyle w:val="Normal"/>
        <w:rPr>
          <w:color w:val="000000"/>
        </w:rPr>
      </w:pPr>
      <w:r>
        <w:rPr>
          <w:color w:val="000000"/>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b/>
                <w:color w:val="000000"/>
                <w:sz w:val="20"/>
                <w:szCs w:val="20"/>
              </w:rPr>
            </w:pPr>
            <w:bookmarkStart w:id="22" w:name="__bookmark_23"/>
            <w:bookmarkEnd w:id="22"/>
            <w:r>
              <w:rPr>
                <w:b/>
                <w:color w:val="000000"/>
                <w:sz w:val="20"/>
                <w:szCs w:val="20"/>
              </w:rPr>
              <w:t xml:space="preserve">Члан </w:t>
            </w:r>
            <w:r>
              <w:rPr>
                <w:b/>
                <w:color w:val="000000"/>
                <w:sz w:val="20"/>
                <w:szCs w:val="20"/>
                <w:lang w:val="sr-RS"/>
              </w:rPr>
              <w:t>6</w:t>
            </w:r>
            <w:r>
              <w:rPr>
                <w:b/>
                <w:color w:val="000000"/>
                <w:sz w:val="20"/>
                <w:szCs w:val="20"/>
              </w:rPr>
              <w:t>.</w:t>
            </w:r>
          </w:p>
          <w:p>
            <w:pPr>
              <w:pStyle w:val="Normal"/>
              <w:spacing w:lineRule="atLeast" w:line="0"/>
              <w:rPr/>
            </w:pPr>
            <w:r>
              <w:rPr/>
            </w:r>
          </w:p>
        </w:tc>
      </w:tr>
    </w:tbl>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color w:val="000000"/>
              </w:rPr>
            </w:pPr>
            <w:bookmarkStart w:id="23" w:name="__bookmark_24"/>
            <w:bookmarkEnd w:id="23"/>
            <w:r>
              <w:rPr>
                <w:color w:val="000000"/>
              </w:rPr>
              <w:t>Издаци за капиталне пројекте, планирани за буџетску 2026 годину и наредне две године, исказани су у табели:</w:t>
            </w:r>
          </w:p>
          <w:p>
            <w:pPr>
              <w:pStyle w:val="Normal"/>
              <w:spacing w:lineRule="atLeast" w:line="0"/>
              <w:rPr/>
            </w:pPr>
            <w:r>
              <w:rPr/>
            </w:r>
          </w:p>
        </w:tc>
      </w:tr>
    </w:tbl>
    <w:p>
      <w:pPr>
        <w:pStyle w:val="Normal"/>
        <w:rPr>
          <w:color w:val="000000"/>
        </w:rPr>
      </w:pPr>
      <w:r>
        <w:rPr>
          <w:color w:val="000000"/>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00"/>
        <w:gridCol w:w="599"/>
        <w:gridCol w:w="5186"/>
        <w:gridCol w:w="1500"/>
        <w:gridCol w:w="1500"/>
        <w:gridCol w:w="1499"/>
      </w:tblGrid>
      <w:tr>
        <w:trPr>
          <w:tblHeader w:val="true"/>
        </w:trPr>
        <w:tc>
          <w:tcPr>
            <w:tcW w:w="9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bookmarkStart w:id="24" w:name="__bookmark_25"/>
            <w:bookmarkEnd w:id="24"/>
            <w:r>
              <w:rPr>
                <w:b/>
                <w:bCs/>
                <w:color w:val="000000"/>
                <w:sz w:val="22"/>
                <w:szCs w:val="22"/>
              </w:rPr>
              <w:t>Економ. класиф.</w:t>
            </w:r>
          </w:p>
        </w:tc>
        <w:tc>
          <w:tcPr>
            <w:tcW w:w="5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Ред. број</w:t>
            </w:r>
          </w:p>
        </w:tc>
        <w:tc>
          <w:tcPr>
            <w:tcW w:w="5186"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Опис</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2026.</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2027.</w:t>
            </w:r>
          </w:p>
        </w:tc>
        <w:tc>
          <w:tcPr>
            <w:tcW w:w="14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2028.</w:t>
            </w:r>
          </w:p>
        </w:tc>
      </w:tr>
      <w:tr>
        <w:trPr>
          <w:tblHeader w:val="true"/>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1</w:t>
            </w:r>
          </w:p>
        </w:tc>
        <w:tc>
          <w:tcPr>
            <w:tcW w:w="5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3</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5</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6</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b/>
                <w:bCs/>
                <w:color w:val="000000"/>
                <w:sz w:val="22"/>
                <w:szCs w:val="22"/>
              </w:rPr>
              <w:t>А. КАПИТАЛНИ ПРОЈЕКТИ</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422</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Побољшање отпорности на климу у Ариљу: Партипативни приступ за одрживу адаптацију:</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510.000,00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423</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Побољшање отпорности на климу у Ариљу: Партипативни приступ за одрживу адаптацију:</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631.400,00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481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Побољшање отпорности на климу у Ариљу: Партипативни приступ за одрживу адаптацију:</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2.113.000,00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Побољшање отпорности на климу у Ариљу: Партипативни приступ за одрживу адаптацију:</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3.298.600,00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почетка финансирања: 2024</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Укупна вредност пројекта: 6.553.000,00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Донације од међународних организација: 6.553.000,00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2"/>
                <w:szCs w:val="22"/>
              </w:rPr>
            </w:pPr>
            <w:r>
              <w:rPr>
                <w:b/>
                <w:color w:val="000000"/>
                <w:sz w:val="22"/>
                <w:szCs w:val="22"/>
              </w:rPr>
              <w:t>РЕКОНСТРУКЦИЈА УЛИЦЕ СВЕТОГ АХИЛИЈА: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141.000.000,00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Укупна вредност пројекта: 141.000.000,00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Неутрошена средства трансфера од других нивоа власти: 70.000.000,00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Приходе из буџета: 71.000.000,00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t>3.</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color w:val="000000"/>
                <w:sz w:val="22"/>
                <w:szCs w:val="22"/>
                <w:lang w:val="sr-RS"/>
              </w:rPr>
            </w:pPr>
            <w:r>
              <w:rPr>
                <w:b/>
                <w:color w:val="000000"/>
                <w:sz w:val="22"/>
                <w:szCs w:val="22"/>
                <w:lang w:val="sr-RS"/>
              </w:rPr>
              <w:t>РЕКОНСТРУКЦИЈА ПУТЕВА И УЛИЦА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23.000.000,00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35.000.000,00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50.000.000,00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завршетка финансирања: 2027</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Укупна вредност пројекта: 58.000.000,00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Приходи из буџета: 50.000.000,00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Добровољни трансфери од физичких и правних лица: 8.000.000,00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t>511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t>4</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color w:val="000000"/>
                <w:sz w:val="22"/>
                <w:szCs w:val="22"/>
                <w:lang w:val="sr-RS"/>
              </w:rPr>
            </w:pPr>
            <w:r>
              <w:rPr>
                <w:b/>
                <w:color w:val="000000"/>
                <w:sz w:val="22"/>
                <w:szCs w:val="22"/>
                <w:lang w:val="sr-RS"/>
              </w:rPr>
              <w:t>ИЗРАДА ПРОЈЕКТНЕ ДОКУМЕНТАЦИЈЕ ЗА ПУТНУ ИНФРАСТРУКТУРУ</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3.000.000,00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3.000.000,00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Приходи из буџета: 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t>5</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color w:val="000000"/>
                <w:sz w:val="22"/>
                <w:szCs w:val="22"/>
                <w:lang w:val="sr-RS"/>
              </w:rPr>
            </w:pPr>
            <w:r>
              <w:rPr>
                <w:b/>
                <w:color w:val="000000"/>
                <w:sz w:val="22"/>
                <w:szCs w:val="22"/>
                <w:lang w:val="sr-RS"/>
              </w:rPr>
              <w:t>ИЗРАДА ПРОЈЕКТНЕ ДОКУМЕНТАЦИЈЕ ЗА ВОДОВОДНУ МРЕЖУ</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1.000.000,00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1.000.000,00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Приходи из буџета: 1.000.000,00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t>5</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color w:val="000000"/>
                <w:sz w:val="22"/>
                <w:szCs w:val="22"/>
                <w:lang w:val="sr-RS"/>
              </w:rPr>
            </w:pPr>
            <w:r>
              <w:rPr>
                <w:b/>
                <w:color w:val="000000"/>
                <w:sz w:val="22"/>
                <w:szCs w:val="22"/>
                <w:lang w:val="sr-RS"/>
              </w:rPr>
              <w:t>ПРИБАВЉАЊЕ ЗЕМЉИШТА ЗА ЈАВНЕ НАМЕНЕ</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2.500.000,00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3.000.000,00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3.000.000,00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Приходи из буџета: 1.700.000,00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lang w:val="sr-RS"/>
              </w:rPr>
            </w:pPr>
            <w:r>
              <w:rPr>
                <w:color w:val="000000"/>
                <w:sz w:val="22"/>
                <w:szCs w:val="22"/>
                <w:lang w:val="sr-RS"/>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lang w:val="sr-RS"/>
              </w:rPr>
            </w:pPr>
            <w:r>
              <w:rPr>
                <w:sz w:val="22"/>
                <w:szCs w:val="22"/>
                <w:lang w:val="sr-RS"/>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color w:val="000000"/>
                <w:sz w:val="22"/>
                <w:szCs w:val="22"/>
                <w:lang w:val="sr-RS"/>
              </w:rPr>
            </w:pPr>
            <w:r>
              <w:rPr>
                <w:color w:val="000000"/>
                <w:sz w:val="22"/>
                <w:szCs w:val="22"/>
                <w:lang w:val="sr-RS"/>
              </w:rPr>
              <w:t>Примања од продаје нефинансијске имовине: 800.000,00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r>
          </w:p>
        </w:tc>
      </w:tr>
    </w:tbl>
    <w:p>
      <w:pPr>
        <w:sectPr>
          <w:headerReference w:type="default" r:id="rId8"/>
          <w:headerReference w:type="first" r:id="rId9"/>
          <w:footerReference w:type="default" r:id="rId10"/>
          <w:footerReference w:type="first" r:id="rId11"/>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rPr>
      </w:pPr>
      <w:r>
        <w:rPr>
          <w:color w:val="000000"/>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color w:val="000000"/>
                <w:sz w:val="22"/>
                <w:szCs w:val="22"/>
              </w:rPr>
            </w:pPr>
            <w:bookmarkStart w:id="25" w:name="__bookmark_28"/>
            <w:bookmarkEnd w:id="25"/>
            <w:r>
              <w:rPr>
                <w:color w:val="000000"/>
                <w:sz w:val="22"/>
                <w:szCs w:val="22"/>
              </w:rPr>
              <w:t>Издаци за заједничке пројекте, планирани за буџетску 2026 годину и наредне две године, исказани су у табели:</w:t>
            </w:r>
          </w:p>
          <w:p>
            <w:pPr>
              <w:pStyle w:val="Normal"/>
              <w:spacing w:lineRule="atLeast" w:line="0"/>
              <w:rPr>
                <w:sz w:val="22"/>
                <w:szCs w:val="22"/>
              </w:rPr>
            </w:pPr>
            <w:r>
              <w:rPr>
                <w:sz w:val="22"/>
                <w:szCs w:val="22"/>
              </w:rPr>
            </w:r>
          </w:p>
        </w:tc>
      </w:tr>
    </w:tbl>
    <w:p>
      <w:pPr>
        <w:pStyle w:val="Normal"/>
        <w:rPr>
          <w:color w:val="000000"/>
          <w:sz w:val="22"/>
          <w:szCs w:val="22"/>
        </w:rPr>
      </w:pPr>
      <w:r>
        <w:rPr>
          <w:color w:val="000000"/>
          <w:sz w:val="22"/>
          <w:szCs w:val="22"/>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00"/>
        <w:gridCol w:w="599"/>
        <w:gridCol w:w="5186"/>
        <w:gridCol w:w="1500"/>
        <w:gridCol w:w="1500"/>
        <w:gridCol w:w="1499"/>
      </w:tblGrid>
      <w:tr>
        <w:trPr>
          <w:tblHeader w:val="true"/>
        </w:trPr>
        <w:tc>
          <w:tcPr>
            <w:tcW w:w="9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bookmarkStart w:id="26" w:name="__bookmark_29"/>
            <w:bookmarkEnd w:id="26"/>
            <w:r>
              <w:rPr>
                <w:b/>
                <w:bCs/>
                <w:color w:val="000000"/>
                <w:sz w:val="22"/>
                <w:szCs w:val="22"/>
              </w:rPr>
              <w:t>Економ. класиф.</w:t>
            </w:r>
          </w:p>
        </w:tc>
        <w:tc>
          <w:tcPr>
            <w:tcW w:w="5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Ред. број</w:t>
            </w:r>
          </w:p>
        </w:tc>
        <w:tc>
          <w:tcPr>
            <w:tcW w:w="5186"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Опис</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2026.</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2027.</w:t>
            </w:r>
          </w:p>
        </w:tc>
        <w:tc>
          <w:tcPr>
            <w:tcW w:w="14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2028.</w:t>
            </w:r>
          </w:p>
        </w:tc>
      </w:tr>
      <w:tr>
        <w:trPr>
          <w:tblHeader w:val="true"/>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1</w:t>
            </w:r>
          </w:p>
        </w:tc>
        <w:tc>
          <w:tcPr>
            <w:tcW w:w="5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3</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5</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6</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b/>
                <w:bCs/>
                <w:color w:val="000000"/>
                <w:sz w:val="22"/>
                <w:szCs w:val="22"/>
              </w:rPr>
              <w:t>Б. ЗАЈЕДНИЧКИ ПРОЈЕКТИ</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454</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2"/>
                <w:szCs w:val="22"/>
              </w:rPr>
            </w:pPr>
            <w:r>
              <w:rPr>
                <w:b/>
                <w:color w:val="000000"/>
                <w:sz w:val="22"/>
                <w:szCs w:val="22"/>
                <w:lang w:val="sr-RS"/>
              </w:rPr>
              <w:t>ЕНЕРГЕТСКА</w:t>
            </w:r>
            <w:r>
              <w:rPr>
                <w:b/>
                <w:color w:val="000000"/>
                <w:sz w:val="22"/>
                <w:szCs w:val="22"/>
              </w:rPr>
              <w:t xml:space="preserve"> </w:t>
            </w:r>
            <w:r>
              <w:rPr>
                <w:b/>
                <w:color w:val="000000"/>
                <w:sz w:val="22"/>
                <w:szCs w:val="22"/>
                <w:lang w:val="sr-RS"/>
              </w:rPr>
              <w:t>САНАЦИЈА</w:t>
            </w:r>
            <w:r>
              <w:rPr>
                <w:b/>
                <w:color w:val="000000"/>
                <w:sz w:val="22"/>
                <w:szCs w:val="22"/>
              </w:rPr>
              <w:t xml:space="preserve"> </w:t>
            </w:r>
            <w:r>
              <w:rPr>
                <w:b/>
                <w:color w:val="000000"/>
                <w:sz w:val="22"/>
                <w:szCs w:val="22"/>
                <w:lang w:val="sr-RS"/>
              </w:rPr>
              <w:t>СТАМБЕНИХ</w:t>
            </w:r>
            <w:r>
              <w:rPr>
                <w:b/>
                <w:color w:val="000000"/>
                <w:sz w:val="22"/>
                <w:szCs w:val="22"/>
              </w:rPr>
              <w:t xml:space="preserve"> </w:t>
            </w:r>
            <w:r>
              <w:rPr>
                <w:b/>
                <w:color w:val="000000"/>
                <w:sz w:val="22"/>
                <w:szCs w:val="22"/>
                <w:lang w:val="sr-RS"/>
              </w:rPr>
              <w:t>ЗГРАДА</w:t>
            </w:r>
            <w:r>
              <w:rPr>
                <w:b/>
                <w:color w:val="000000"/>
                <w:sz w:val="22"/>
                <w:szCs w:val="22"/>
              </w:rPr>
              <w:t xml:space="preserve"> </w:t>
            </w:r>
            <w:r>
              <w:rPr>
                <w:b/>
                <w:color w:val="000000"/>
                <w:sz w:val="22"/>
                <w:szCs w:val="22"/>
                <w:lang w:val="sr-RS"/>
              </w:rPr>
              <w:t>И</w:t>
            </w:r>
            <w:r>
              <w:rPr>
                <w:b/>
                <w:color w:val="000000"/>
                <w:sz w:val="22"/>
                <w:szCs w:val="22"/>
              </w:rPr>
              <w:t xml:space="preserve"> </w:t>
            </w:r>
            <w:r>
              <w:rPr>
                <w:b/>
                <w:color w:val="000000"/>
                <w:sz w:val="22"/>
                <w:szCs w:val="22"/>
                <w:lang w:val="sr-RS"/>
              </w:rPr>
              <w:t>ПОРОДИЧНИХ КУЋА</w:t>
            </w:r>
            <w:r>
              <w:rPr>
                <w:b/>
                <w:color w:val="000000"/>
                <w:sz w:val="22"/>
                <w:szCs w:val="22"/>
              </w:rPr>
              <w:t>:</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4.500.000,00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5.000.000,00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5.000.000,00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Укупна вредност пројекта: 4.500.000,00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Приходе из буџета: 2.250.000,00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Неутрошена средства трансфера од других нивоа власти: 2.250.000,00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423</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2"/>
                <w:szCs w:val="22"/>
              </w:rPr>
            </w:pPr>
            <w:r>
              <w:rPr>
                <w:b/>
                <w:color w:val="000000"/>
                <w:sz w:val="22"/>
                <w:szCs w:val="22"/>
              </w:rPr>
              <w:t>УВОЂЕЊЕ ИНОВАТИВНЕ УСЛУГЕ ПОРОДИЧНИ САВЕТНИК:</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1.256.200,00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Укупна вредност пројекта: 1.256.200,00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Донације од међународних организација: 1.256.200,00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bl>
    <w:p>
      <w:pPr>
        <w:sectPr>
          <w:headerReference w:type="default" r:id="rId12"/>
          <w:headerReference w:type="first" r:id="rId13"/>
          <w:footerReference w:type="default" r:id="rId14"/>
          <w:footerReference w:type="first" r:id="rId15"/>
          <w:type w:val="nextPage"/>
          <w:pgSz w:w="11906" w:h="16838"/>
          <w:pgMar w:left="360" w:right="360" w:gutter="0" w:header="360" w:top="417" w:footer="360" w:bottom="417"/>
          <w:pgNumType w:fmt="decimal"/>
          <w:formProt w:val="false"/>
          <w:textDirection w:val="lrTb"/>
          <w:docGrid w:type="default" w:linePitch="100" w:charSpace="8192"/>
        </w:sectPr>
        <w:pStyle w:val="Normal"/>
        <w:rPr>
          <w:color w:val="000000"/>
          <w:sz w:val="22"/>
          <w:szCs w:val="22"/>
        </w:rPr>
      </w:pPr>
      <w:r>
        <w:rPr>
          <w:color w:val="000000"/>
          <w:sz w:val="22"/>
          <w:szCs w:val="22"/>
        </w:rPr>
      </w:r>
    </w:p>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color w:val="000000"/>
                <w:sz w:val="22"/>
                <w:szCs w:val="22"/>
              </w:rPr>
            </w:pPr>
            <w:bookmarkStart w:id="27" w:name="__bookmark_32"/>
            <w:bookmarkEnd w:id="27"/>
            <w:r>
              <w:rPr>
                <w:color w:val="000000"/>
                <w:sz w:val="22"/>
                <w:szCs w:val="22"/>
              </w:rPr>
              <w:t>Издаци за стандардне пројекте, планирани за буџетску 2026 годину и наредне две године, исказани су у табели:</w:t>
            </w:r>
          </w:p>
          <w:p>
            <w:pPr>
              <w:pStyle w:val="Normal"/>
              <w:spacing w:lineRule="atLeast" w:line="0"/>
              <w:rPr>
                <w:sz w:val="22"/>
                <w:szCs w:val="22"/>
              </w:rPr>
            </w:pPr>
            <w:r>
              <w:rPr>
                <w:sz w:val="22"/>
                <w:szCs w:val="22"/>
              </w:rPr>
            </w:r>
          </w:p>
        </w:tc>
      </w:tr>
    </w:tbl>
    <w:p>
      <w:pPr>
        <w:pStyle w:val="Normal"/>
        <w:rPr>
          <w:color w:val="000000"/>
          <w:sz w:val="22"/>
          <w:szCs w:val="22"/>
        </w:rPr>
      </w:pPr>
      <w:r>
        <w:rPr>
          <w:color w:val="000000"/>
          <w:sz w:val="22"/>
          <w:szCs w:val="22"/>
        </w:rPr>
      </w:r>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00"/>
        <w:gridCol w:w="599"/>
        <w:gridCol w:w="5186"/>
        <w:gridCol w:w="1500"/>
        <w:gridCol w:w="1500"/>
        <w:gridCol w:w="1499"/>
      </w:tblGrid>
      <w:tr>
        <w:trPr>
          <w:tblHeader w:val="true"/>
        </w:trPr>
        <w:tc>
          <w:tcPr>
            <w:tcW w:w="9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bookmarkStart w:id="28" w:name="__bookmark_33"/>
            <w:bookmarkEnd w:id="28"/>
            <w:r>
              <w:rPr>
                <w:b/>
                <w:bCs/>
                <w:color w:val="000000"/>
                <w:sz w:val="22"/>
                <w:szCs w:val="22"/>
              </w:rPr>
              <w:t>Економ. класиф.</w:t>
            </w:r>
          </w:p>
        </w:tc>
        <w:tc>
          <w:tcPr>
            <w:tcW w:w="5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Ред. број</w:t>
            </w:r>
          </w:p>
        </w:tc>
        <w:tc>
          <w:tcPr>
            <w:tcW w:w="5186"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Опис</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2026.</w:t>
            </w:r>
          </w:p>
        </w:tc>
        <w:tc>
          <w:tcPr>
            <w:tcW w:w="1500"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2027.</w:t>
            </w:r>
          </w:p>
        </w:tc>
        <w:tc>
          <w:tcPr>
            <w:tcW w:w="1499" w:type="dxa"/>
            <w:tcBorders>
              <w:top w:val="single" w:sz="6" w:space="0" w:color="000000"/>
              <w:left w:val="single" w:sz="6" w:space="0" w:color="000000"/>
              <w:bottom w:val="single" w:sz="6" w:space="0" w:color="000000"/>
              <w:right w:val="single" w:sz="6" w:space="0" w:color="000000"/>
            </w:tcBorders>
            <w:shd w:color="auto" w:fill="E2E2E2" w:val="clear"/>
            <w:vAlign w:val="center"/>
          </w:tcPr>
          <w:p>
            <w:pPr>
              <w:pStyle w:val="Normal"/>
              <w:jc w:val="center"/>
              <w:rPr>
                <w:b/>
                <w:bCs/>
                <w:color w:val="000000"/>
                <w:sz w:val="22"/>
                <w:szCs w:val="22"/>
              </w:rPr>
            </w:pPr>
            <w:r>
              <w:rPr>
                <w:b/>
                <w:bCs/>
                <w:color w:val="000000"/>
                <w:sz w:val="22"/>
                <w:szCs w:val="22"/>
              </w:rPr>
              <w:t>2028.</w:t>
            </w:r>
          </w:p>
        </w:tc>
      </w:tr>
      <w:tr>
        <w:trPr>
          <w:tblHeader w:val="true"/>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1</w:t>
            </w:r>
          </w:p>
        </w:tc>
        <w:tc>
          <w:tcPr>
            <w:tcW w:w="5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2</w:t>
            </w:r>
          </w:p>
        </w:tc>
        <w:tc>
          <w:tcPr>
            <w:tcW w:w="5186"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3</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5</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6</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b/>
                <w:bCs/>
                <w:color w:val="000000"/>
                <w:sz w:val="22"/>
                <w:szCs w:val="22"/>
              </w:rPr>
              <w:t>В. СТАНДАРДНИ ПРОЈЕКТИ</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t>481</w:t>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color w:val="000000"/>
                <w:sz w:val="22"/>
                <w:szCs w:val="22"/>
              </w:rPr>
              <w:t>1.</w:t>
            </w:r>
          </w:p>
        </w:tc>
        <w:tc>
          <w:tcPr>
            <w:tcW w:w="5186" w:type="dxa"/>
            <w:tcBorders>
              <w:top w:val="single" w:sz="6" w:space="0" w:color="000000"/>
              <w:left w:val="single" w:sz="6" w:space="0" w:color="000000"/>
              <w:bottom w:val="single" w:sz="6" w:space="0" w:color="000000"/>
              <w:right w:val="single" w:sz="6" w:space="0" w:color="000000"/>
            </w:tcBorders>
          </w:tcPr>
          <w:p>
            <w:pPr>
              <w:pStyle w:val="Normal"/>
              <w:rPr>
                <w:b/>
                <w:sz w:val="22"/>
                <w:szCs w:val="22"/>
              </w:rPr>
            </w:pPr>
            <w:r>
              <w:rPr>
                <w:b/>
                <w:color w:val="000000"/>
                <w:sz w:val="22"/>
                <w:szCs w:val="22"/>
              </w:rPr>
              <w:t>ОДРЖИВО ФУНКЦИОНИСАЊЕ НВО:</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t>7.000.000,00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7.000.000,00</w:t>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lang w:val="sr-RS"/>
              </w:rPr>
            </w:pPr>
            <w:r>
              <w:rPr>
                <w:color w:val="000000"/>
                <w:sz w:val="22"/>
                <w:szCs w:val="22"/>
                <w:lang w:val="sr-RS"/>
              </w:rPr>
              <w:t>7.000.000,00</w:t>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почетка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Година завршетка финансирања: 2026</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Укупна вредност пројекта: 7.000.000,00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Извори финансирања:</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r>
        <w:trPr/>
        <w:tc>
          <w:tcPr>
            <w:tcW w:w="900"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22"/>
                <w:szCs w:val="22"/>
              </w:rPr>
            </w:pPr>
            <w:r>
              <w:rPr>
                <w:color w:val="000000"/>
                <w:sz w:val="22"/>
                <w:szCs w:val="22"/>
              </w:rPr>
            </w:r>
          </w:p>
        </w:tc>
        <w:tc>
          <w:tcPr>
            <w:tcW w:w="599" w:type="dxa"/>
            <w:tcBorders>
              <w:top w:val="single" w:sz="6" w:space="0" w:color="000000"/>
              <w:left w:val="single" w:sz="6" w:space="0" w:color="000000"/>
              <w:bottom w:val="single" w:sz="6" w:space="0" w:color="000000"/>
              <w:right w:val="single" w:sz="6" w:space="0" w:color="000000"/>
            </w:tcBorders>
          </w:tcPr>
          <w:p>
            <w:pPr>
              <w:pStyle w:val="Normal"/>
              <w:ind w:right="20"/>
              <w:jc w:val="right"/>
              <w:rPr>
                <w:sz w:val="22"/>
                <w:szCs w:val="22"/>
              </w:rPr>
            </w:pPr>
            <w:r>
              <w:rPr>
                <w:sz w:val="22"/>
                <w:szCs w:val="22"/>
              </w:rPr>
            </w:r>
          </w:p>
        </w:tc>
        <w:tc>
          <w:tcPr>
            <w:tcW w:w="5186" w:type="dxa"/>
            <w:tcBorders>
              <w:top w:val="single" w:sz="6" w:space="0" w:color="000000"/>
              <w:left w:val="single" w:sz="6" w:space="0" w:color="000000"/>
              <w:bottom w:val="single" w:sz="6" w:space="0" w:color="000000"/>
              <w:right w:val="single" w:sz="6" w:space="0" w:color="000000"/>
            </w:tcBorders>
          </w:tcPr>
          <w:p>
            <w:pPr>
              <w:pStyle w:val="Normal"/>
              <w:rPr>
                <w:sz w:val="22"/>
                <w:szCs w:val="22"/>
              </w:rPr>
            </w:pPr>
            <w:r>
              <w:rPr>
                <w:color w:val="000000"/>
                <w:sz w:val="22"/>
                <w:szCs w:val="22"/>
              </w:rPr>
              <w:t>Приходе из буџета: 7.000.000,00</w:t>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5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c>
          <w:tcPr>
            <w:tcW w:w="14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22"/>
                <w:szCs w:val="22"/>
              </w:rPr>
            </w:pPr>
            <w:r>
              <w:rPr>
                <w:color w:val="000000"/>
                <w:sz w:val="22"/>
                <w:szCs w:val="22"/>
              </w:rPr>
            </w:r>
          </w:p>
        </w:tc>
      </w:tr>
    </w:tbl>
    <w:p>
      <w:pPr>
        <w:pStyle w:val="Normal"/>
        <w:rPr>
          <w:color w:val="000000"/>
          <w:sz w:val="22"/>
          <w:szCs w:val="22"/>
        </w:rPr>
      </w:pPr>
      <w:r>
        <w:rPr>
          <w:color w:val="000000"/>
          <w:sz w:val="22"/>
          <w:szCs w:val="22"/>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Web"/>
              <w:spacing w:before="0" w:after="280"/>
              <w:jc w:val="center"/>
              <w:rPr>
                <w:b/>
                <w:color w:val="000000"/>
                <w:sz w:val="22"/>
                <w:szCs w:val="22"/>
              </w:rPr>
            </w:pPr>
            <w:bookmarkStart w:id="29" w:name="__bookmark_36"/>
            <w:bookmarkEnd w:id="29"/>
            <w:r>
              <w:rPr>
                <w:b/>
                <w:color w:val="000000"/>
                <w:sz w:val="22"/>
                <w:szCs w:val="22"/>
              </w:rPr>
              <w:t xml:space="preserve">Члан </w:t>
            </w:r>
            <w:r>
              <w:rPr>
                <w:b/>
                <w:color w:val="000000"/>
                <w:sz w:val="22"/>
                <w:szCs w:val="22"/>
                <w:lang w:val="sr-RS"/>
              </w:rPr>
              <w:t>7</w:t>
            </w:r>
            <w:r>
              <w:rPr>
                <w:b/>
                <w:color w:val="000000"/>
                <w:sz w:val="22"/>
                <w:szCs w:val="22"/>
              </w:rPr>
              <w:t>.</w:t>
            </w:r>
          </w:p>
          <w:p>
            <w:pPr>
              <w:pStyle w:val="NormalWeb"/>
              <w:spacing w:before="280" w:after="280"/>
              <w:ind w:firstLine="720"/>
              <w:jc w:val="both"/>
              <w:rPr>
                <w:color w:val="000000"/>
                <w:sz w:val="22"/>
                <w:szCs w:val="22"/>
              </w:rPr>
            </w:pPr>
            <w:r>
              <w:rPr>
                <w:sz w:val="22"/>
                <w:szCs w:val="22"/>
              </w:rPr>
              <w:t xml:space="preserve">Укупни расходи и издаци у износу од 991.206.733,00 </w:t>
            </w:r>
            <w:r>
              <w:rPr>
                <w:color w:val="000000"/>
                <w:sz w:val="22"/>
                <w:szCs w:val="22"/>
              </w:rPr>
              <w:t>динара, финансирани из свих извора финансирања распоређују се по корисницима и врстама издатака, и то:</w:t>
            </w:r>
          </w:p>
          <w:p>
            <w:pPr>
              <w:pStyle w:val="Normal"/>
              <w:spacing w:lineRule="atLeast" w:line="0"/>
              <w:rPr>
                <w:sz w:val="22"/>
                <w:szCs w:val="22"/>
              </w:rPr>
            </w:pPr>
            <w:r>
              <w:rPr>
                <w:sz w:val="22"/>
                <w:szCs w:val="22"/>
              </w:rPr>
            </w:r>
          </w:p>
        </w:tc>
      </w:tr>
    </w:tbl>
    <w:p>
      <w:pPr>
        <w:sectPr>
          <w:headerReference w:type="default" r:id="rId16"/>
          <w:headerReference w:type="first" r:id="rId17"/>
          <w:footerReference w:type="default" r:id="rId18"/>
          <w:footerReference w:type="first" r:id="rId19"/>
          <w:type w:val="nextPage"/>
          <w:pgSz w:w="11906" w:h="16838"/>
          <w:pgMar w:left="360" w:right="360" w:gutter="0" w:header="360" w:top="417" w:footer="360" w:bottom="417"/>
          <w:pgNumType w:fmt="decimal"/>
          <w:formProt w:val="false"/>
          <w:textDirection w:val="lrTb"/>
          <w:docGrid w:type="default" w:linePitch="100" w:charSpace="8192"/>
        </w:sectPr>
      </w:pPr>
    </w:p>
    <w:p>
      <w:pPr>
        <w:pStyle w:val="Normal"/>
        <w:jc w:val="center"/>
        <w:rPr>
          <w:b/>
          <w:bCs/>
          <w:color w:val="000000"/>
          <w:sz w:val="24"/>
          <w:szCs w:val="24"/>
        </w:rPr>
      </w:pPr>
      <w:r>
        <w:rPr>
          <w:b/>
          <w:bCs/>
          <w:color w:val="000000"/>
          <w:sz w:val="24"/>
          <w:szCs w:val="24"/>
        </w:rPr>
        <w:t>II ПОСЕБАН ДЕО</w:t>
      </w:r>
    </w:p>
    <w:p>
      <w:pPr>
        <w:pStyle w:val="Normal"/>
        <w:rPr>
          <w:color w:val="000000"/>
        </w:rPr>
      </w:pPr>
      <w:r>
        <w:rPr>
          <w:color w:val="000000"/>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975"/>
        <w:gridCol w:w="899"/>
        <w:gridCol w:w="975"/>
        <w:gridCol w:w="6068"/>
        <w:gridCol w:w="1499"/>
        <w:gridCol w:w="1500"/>
        <w:gridCol w:w="1501"/>
        <w:gridCol w:w="1499"/>
        <w:gridCol w:w="1199"/>
      </w:tblGrid>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372"/>
              <w:gridCol w:w="5372"/>
              <w:gridCol w:w="5373"/>
            </w:tblGrid>
            <w:tr>
              <w:trPr>
                <w:trHeight w:val="276" w:hRule="atLeast"/>
              </w:trPr>
              <w:tc>
                <w:tcPr>
                  <w:tcW w:w="16117" w:type="dxa"/>
                  <w:gridSpan w:val="3"/>
                  <w:tcBorders/>
                </w:tcPr>
                <w:p>
                  <w:pPr>
                    <w:pStyle w:val="Normal"/>
                    <w:jc w:val="center"/>
                    <w:rPr>
                      <w:b/>
                      <w:bCs/>
                      <w:color w:val="000000"/>
                      <w:sz w:val="24"/>
                      <w:szCs w:val="24"/>
                      <w:lang w:val="sr-RS"/>
                    </w:rPr>
                  </w:pPr>
                  <w:bookmarkStart w:id="30" w:name="__bookmark_37"/>
                  <w:bookmarkEnd w:id="30"/>
                  <w:r>
                    <w:rPr>
                      <w:b/>
                      <w:bCs/>
                      <w:color w:val="000000"/>
                      <w:sz w:val="24"/>
                      <w:szCs w:val="24"/>
                      <w:lang w:val="sr-RS"/>
                    </w:rPr>
                    <w:t>ПЛАН РАСХОДА</w:t>
                  </w:r>
                </w:p>
              </w:tc>
            </w:tr>
            <w:tr>
              <w:trPr/>
              <w:tc>
                <w:tcPr>
                  <w:tcW w:w="5372" w:type="dxa"/>
                  <w:tcBorders/>
                </w:tcPr>
                <w:p>
                  <w:pPr>
                    <w:pStyle w:val="Normal"/>
                    <w:rPr>
                      <w:b/>
                      <w:bCs/>
                      <w:color w:val="000000"/>
                      <w:sz w:val="16"/>
                      <w:szCs w:val="16"/>
                    </w:rPr>
                  </w:pPr>
                  <w:r>
                    <w:rPr>
                      <w:b/>
                      <w:bCs/>
                      <w:color w:val="000000"/>
                      <w:sz w:val="16"/>
                      <w:szCs w:val="16"/>
                    </w:rPr>
                    <w:t>0     БУЏЕТ ОПШТИНЕ АРИЉЕ</w:t>
                  </w:r>
                </w:p>
              </w:tc>
              <w:tc>
                <w:tcPr>
                  <w:tcW w:w="5372" w:type="dxa"/>
                  <w:tcBorders/>
                </w:tcPr>
                <w:p>
                  <w:pPr>
                    <w:pStyle w:val="Normal"/>
                    <w:jc w:val="center"/>
                    <w:rPr>
                      <w:b/>
                      <w:bCs/>
                      <w:color w:val="000000"/>
                    </w:rPr>
                  </w:pPr>
                  <w:r>
                    <w:rPr>
                      <w:b/>
                      <w:bCs/>
                      <w:color w:val="000000"/>
                    </w:rPr>
                    <w:t>2026</w:t>
                  </w:r>
                </w:p>
              </w:tc>
              <w:tc>
                <w:tcPr>
                  <w:tcW w:w="5373" w:type="dxa"/>
                  <w:tcBorders/>
                </w:tcPr>
                <w:p>
                  <w:pPr>
                    <w:pStyle w:val="Normal"/>
                    <w:spacing w:lineRule="atLeast" w:line="0"/>
                    <w:jc w:val="center"/>
                    <w:rPr/>
                  </w:pPr>
                  <w:r>
                    <w:rPr/>
                  </w:r>
                </w:p>
              </w:tc>
            </w:tr>
          </w:tbl>
          <w:p>
            <w:pPr>
              <w:pStyle w:val="Normal"/>
              <w:spacing w:lineRule="atLeast" w:line="0"/>
              <w:rPr/>
            </w:pPr>
            <w:r>
              <w:rPr/>
            </w:r>
          </w:p>
        </w:tc>
      </w:tr>
      <w:tr>
        <w:trPr>
          <w:tblHeader w:val="true"/>
          <w:trHeight w:val="300" w:hRule="exact"/>
        </w:trPr>
        <w:tc>
          <w:tcPr>
            <w:tcW w:w="16115" w:type="dxa"/>
            <w:gridSpan w:val="9"/>
            <w:tcBorders/>
          </w:tcPr>
          <w:p>
            <w:pPr>
              <w:pStyle w:val="Normal"/>
              <w:spacing w:lineRule="atLeast" w:line="0"/>
              <w:jc w:val="center"/>
              <w:rPr/>
            </w:pPr>
            <w:r>
              <w:rPr/>
            </w:r>
          </w:p>
        </w:tc>
      </w:tr>
      <w:tr>
        <w:trPr>
          <w:tblHeader w:val="true"/>
        </w:trPr>
        <w:tc>
          <w:tcPr>
            <w:tcW w:w="975" w:type="dxa"/>
            <w:tcBorders>
              <w:top w:val="single" w:sz="6" w:space="0" w:color="000000"/>
              <w:left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Шифра функц. класиф.</w:t>
            </w:r>
          </w:p>
        </w:tc>
        <w:tc>
          <w:tcPr>
            <w:tcW w:w="899" w:type="dxa"/>
            <w:tcBorders>
              <w:top w:val="single" w:sz="6" w:space="0" w:color="000000"/>
              <w:left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Број позиције</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6068"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4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5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4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1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 БУЏЕТ ОПШТИНЕ АРИЉЕ" \l 1 </w:instrText>
            </w:r>
            <w:r>
              <w:rPr/>
              <w:fldChar w:fldCharType="separate"/>
            </w:r>
            <w:r>
              <w:rPr/>
            </w:r>
            <w:r>
              <w:rPr/>
              <w:fldChar w:fldCharType="end"/>
            </w:r>
          </w:p>
          <w:p>
            <w:pPr>
              <w:pStyle w:val="Normal"/>
              <w:rPr>
                <w:vanish/>
              </w:rPr>
            </w:pPr>
            <w:r>
              <w:fldChar w:fldCharType="begin"/>
            </w:r>
            <w:r>
              <w:rPr/>
              <w:instrText xml:space="preserve"> TC "1 СКУПШТИНА ОПШТИНЕ"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СКУПШТИНА ОПШТИНЕ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 \l 1 </w:instrText>
            </w:r>
            <w:r>
              <w:rPr/>
              <w:fldChar w:fldCharType="separate"/>
            </w:r>
            <w:r>
              <w:rPr/>
            </w:r>
            <w:r>
              <w:rPr/>
              <w:fldChar w:fldCharType="end"/>
            </w:r>
          </w:p>
          <w:p>
            <w:pPr>
              <w:pStyle w:val="Normal"/>
              <w:rPr>
                <w:vanish/>
              </w:rPr>
            </w:pPr>
            <w:r>
              <w:fldChar w:fldCharType="begin"/>
            </w:r>
            <w:r>
              <w:rPr/>
              <w:instrText xml:space="preserve"> TC "110 Извршни и законодавни органи, финансијски и фискални послови и спољни послови"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Извршни и законодавни органи, финансијски и фискални послови и спољни послови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"2101"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ПОЛИТИЧКИ СИСТЕМ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скупштине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596.130,00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596.130,00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8.460.000,00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8.460.000,00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0,85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скупштине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110: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14.289.360,00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Извршни и законодавни органи, финансијски и фискални послови и спољни послови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14.289.360,00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СКУПШТИНА ОПШТИНЕ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 ПРЕДСЕДНИК ОПШТИНЕ"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ПРЕДСЕДНИК ОПШТИНЕ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 \l 1 </w:instrText>
            </w:r>
            <w:r>
              <w:rPr/>
              <w:fldChar w:fldCharType="separate"/>
            </w:r>
            <w:r>
              <w:rPr/>
            </w:r>
            <w:r>
              <w:rPr/>
              <w:fldChar w:fldCharType="end"/>
            </w:r>
          </w:p>
          <w:p>
            <w:pPr>
              <w:pStyle w:val="Normal"/>
              <w:rPr>
                <w:vanish/>
              </w:rPr>
            </w:pPr>
            <w:r>
              <w:fldChar w:fldCharType="begin"/>
            </w:r>
            <w:r>
              <w:rPr/>
              <w:instrText xml:space="preserve"> TC "111 Извршни и законодавни органи"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Извршни и законодавни органи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"2101"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ПОЛИТИЧКИ СИСТЕМ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извршних органа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873.220,00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873.220,00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извршних органа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111: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Извршни и законодавни органи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2:</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ПРЕДСЕДНИК ОПШТИНЕ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"3 ОПШТИНСКО ВЕЋЕ"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ОПШТИНСКО ВЕЋЕ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 \l 1 </w:instrText>
            </w:r>
            <w:r>
              <w:rPr/>
              <w:fldChar w:fldCharType="separate"/>
            </w:r>
            <w:r>
              <w:rPr/>
            </w:r>
            <w:r>
              <w:rPr/>
              <w:fldChar w:fldCharType="end"/>
            </w:r>
          </w:p>
          <w:p>
            <w:pPr>
              <w:pStyle w:val="Normal"/>
              <w:rPr>
                <w:vanish/>
              </w:rPr>
            </w:pPr>
            <w:r>
              <w:fldChar w:fldCharType="begin"/>
            </w:r>
            <w:r>
              <w:rPr/>
              <w:instrText xml:space="preserve"> TC "111 Извршни и законодавни органи"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Извршни и законодавни органи</w:t>
                  </w:r>
                </w:p>
              </w:tc>
            </w:tr>
          </w:tbl>
          <w:p>
            <w:pPr>
              <w:pStyle w:val="Normal"/>
              <w:spacing w:lineRule="atLeast" w:line="0"/>
              <w:rPr/>
            </w:pPr>
            <w:r>
              <w:rPr/>
            </w:r>
            <w:bookmarkStart w:id="31" w:name="_Toc2101"/>
            <w:bookmarkStart w:id="32" w:name="_Toc2101"/>
            <w:bookmarkEnd w:id="32"/>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"2101"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ПОЛИТИЧКИ СИСТЕМ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извршних органа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0,18</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извршних органа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111: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Извршни и законодавни органи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3:</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ОПШТИНСКО ВЕЋЕ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"4 ОПШТИНСКИ ПРАВОБРАНИЛАЦ"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ОПШТИНСКИ ПРАВОБРАНИЛАЦ</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 \l 1 </w:instrText>
            </w:r>
            <w:r>
              <w:rPr/>
              <w:fldChar w:fldCharType="separate"/>
            </w:r>
            <w:r>
              <w:rPr/>
            </w:r>
            <w:r>
              <w:rPr/>
              <w:fldChar w:fldCharType="end"/>
            </w:r>
          </w:p>
          <w:p>
            <w:pPr>
              <w:pStyle w:val="Normal"/>
              <w:rPr>
                <w:vanish/>
              </w:rPr>
            </w:pPr>
            <w:r>
              <w:fldChar w:fldCharType="begin"/>
            </w:r>
            <w:r>
              <w:rPr/>
              <w:instrText xml:space="preserve"> TC "330 Судови"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Судови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Општинско/градско правобранилаштво</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312.580,00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312.580,00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Општинско/градско правобранилаштво</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330: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Судови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4:</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ОПШТИНСКИ ПРАВОБРАНИЛАЦ</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 ОПШТИНСКА УПРАВА"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ОПШТИНСКА УПРАВА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 \l 1 </w:instrText>
            </w:r>
            <w:r>
              <w:rPr/>
              <w:fldChar w:fldCharType="separate"/>
            </w:r>
            <w:r>
              <w:rPr/>
            </w:r>
            <w:r>
              <w:rPr/>
              <w:fldChar w:fldCharType="end"/>
            </w:r>
          </w:p>
          <w:p>
            <w:pPr>
              <w:pStyle w:val="Normal"/>
              <w:rPr>
                <w:vanish/>
              </w:rPr>
            </w:pPr>
            <w:r>
              <w:fldChar w:fldCharType="begin"/>
            </w:r>
            <w:r>
              <w:rPr/>
              <w:instrText xml:space="preserve"> TC "040 Породица и деца"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Породица и деца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"0902"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СОЦИЈАЛНА И ДЕЧЈА ЗАШТИТА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0019</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Подршка деци и породици са децом</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17.102.378,00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17.102.378,00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1,73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0019</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деци и породици са децом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17.102.378,00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17.102.378,00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1,73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Подршка рађању и родитељству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рађању и родитељству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0902-7002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УВОЂЕЊЕ ИНОВАТИВНЕ УСЛУГЕ ПОРОДИЧНИ САВЕТНИК</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1.256.200,00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1.256.200,00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0902-7002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УВОЂЕЊЕ ИНОВАТИВНЕ УСЛУГЕ ПОРОДИЧНИ САВЕТНИК</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1.256.200,00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1.256.200,00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040: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19.102.378,00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1.256.200,00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040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Породица и деца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19.102.378,00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1.256.200,00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20.358.578,00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"070 Социјална помоћ угроженом становништву, некласификована на другом месту"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Социјална помоћ угроженом становништву, некласификована на другом месту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"0902"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СОЦИЈАЛНА И ДЕЧЈА ЗАШТИТА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Једнократне помоћи и други облици помоћи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070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9.959.000,00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9.959.000,00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Једнократне помоћи и други облици помоћи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1,00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070: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9.959.000,00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070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Социјална помоћ угроженом становништву, некласификована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1,00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"090 Социјална заштита некласификована на другом месту"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Социјална заштита некласификована на другом месту</w:t>
                  </w:r>
                </w:p>
              </w:tc>
            </w:tr>
          </w:tbl>
          <w:p>
            <w:pPr>
              <w:pStyle w:val="Normal"/>
              <w:spacing w:lineRule="atLeast" w:line="0"/>
              <w:rPr/>
            </w:pPr>
            <w:r>
              <w:rPr/>
            </w:r>
            <w:bookmarkStart w:id="33" w:name="_Toc0902"/>
            <w:bookmarkStart w:id="34" w:name="_Toc0902"/>
            <w:bookmarkEnd w:id="34"/>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"0902"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0902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СОЦИЈАЛНА И ДЕЧЈА ЗАШТИТА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0016</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Дневне услуге у заједници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090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0016</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Дневне услуге у заједници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0018</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Подршка реализацији програма Црвеног крста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090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0,24</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0018</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реализацији програма Црвеног крста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0021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Подршка особама са инвалидитетом</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090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0021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особама са инвалидитетом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090: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090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Социјална заштита некласификована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"130 Опште услуге"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локалне самоуправе и градских општина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6,13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9.209.440,00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9.209.440,00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0,93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21.151.000,00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21.151.000,00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2,13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16.141.000,00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16.141.000,00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1,63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4.610.000,00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локалне самоуправе и градских општина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129.465.720,00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129.465.720,00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13,06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130: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129.465.720,00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услуге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129.465.720,00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129.465.720,00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13,06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"160 Опште јавне услуге некласификоване на другом месту"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јавне услуге некласификоване на другом месту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локалне самоуправе и градских општина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локалне самоуправе и градских општина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16.000.000,00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1,61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0009</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Текућа буџетска резерва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1,01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0009</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Текућа буџетска резерва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1,01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Стална буџетска резерва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Стална буџетска резерва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160: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26.300.000,00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јавне услуге некласификоване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2,65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"220 Цивилна одбрана"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Цивилна одбрана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0014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у ванредним ситуацијама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0014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у ванредним ситуацијама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550.000,00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550.000,00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220: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550.000,00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220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Цивилна одбрана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550.000,00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550.000,00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"360 Јавни ред и безбедност некласификован на другом месту"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Јавни ред и безбедност некласификован на другом месту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"0701"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ОРГАНИЗАЦИЈА САОБРАЋАЈА И САОБРАЋАЈНА ИНФРАСТРУКТУРА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0005</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Унапређење безбедности саобраћаја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0005</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Унапређење безбедности саобраћаја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360: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Јавни ред и безбедност некласификован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"411 Општи економски и комерцијални послови"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Општи економски и комерцијални послови</w:t>
                  </w:r>
                </w:p>
              </w:tc>
            </w:tr>
          </w:tbl>
          <w:p>
            <w:pPr>
              <w:pStyle w:val="Normal"/>
              <w:spacing w:lineRule="atLeast" w:line="0"/>
              <w:rPr/>
            </w:pPr>
            <w:r>
              <w:rPr/>
            </w:r>
            <w:bookmarkStart w:id="35" w:name="_Toc1501"/>
            <w:bookmarkStart w:id="36" w:name="_Toc1501"/>
            <w:bookmarkEnd w:id="36"/>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"1501"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1501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ЛОКАЛНИ ЕКОНОМСКИ РАЗВОЈ</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Унапређење привредног и инвестиционог амбијента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Унапређење привредног и инвестиционог амбијента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Мере активне политике запошљавања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Мере активне политике запошљавања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2.941.680,00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2.941.680,00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0,30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411: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5.441.680,00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 економски и комерцијални послови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0,55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"421 Пољопривреда"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421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Пољопривреда</w:t>
                  </w:r>
                </w:p>
              </w:tc>
            </w:tr>
          </w:tbl>
          <w:p>
            <w:pPr>
              <w:pStyle w:val="Normal"/>
              <w:spacing w:lineRule="atLeast" w:line="0"/>
              <w:rPr/>
            </w:pPr>
            <w:r>
              <w:rPr/>
            </w:r>
            <w:bookmarkStart w:id="37" w:name="_Toc0101"/>
            <w:bookmarkStart w:id="38" w:name="_Toc0101"/>
            <w:bookmarkEnd w:id="38"/>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"0101"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ПОЉОПРИВРЕДА И РУРАЛНИ РАЗВОЈ</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Подршка за спровођење пољопривредне политике у локалној заједници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за спровођење пољопривредне политике у локалној заједници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Мере подршке руралном развоју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Мере подршке руралном развоју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1,21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421: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12.300.000,00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421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Пољопривреда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1,24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"451 Друмски саобраћај"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451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Друмски саобраћај</w:t>
                  </w:r>
                </w:p>
              </w:tc>
            </w:tr>
          </w:tbl>
          <w:p>
            <w:pPr>
              <w:pStyle w:val="Normal"/>
              <w:spacing w:lineRule="atLeast" w:line="0"/>
              <w:rPr/>
            </w:pPr>
            <w:r>
              <w:rPr/>
            </w:r>
            <w:bookmarkStart w:id="39" w:name="_Toc0701"/>
            <w:bookmarkStart w:id="40" w:name="_Toc0701"/>
            <w:bookmarkEnd w:id="40"/>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"0701"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ОРГАНИЗАЦИЈА САОБРАЋАЈА И САОБРАЋАЈНА ИНФРАСТРУКТУРА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и одржавање саобраћајне инфраструктуре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1,51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27.600.000,00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2,99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2,42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ЗЕМЉИШТЕ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и одржавање саобраћајне инфраструктуре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45.300.000,00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25.800.000,00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7,17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0701-5003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РЕКОНСТРУКЦИЈА УЛИЦЕ СВЕТОГ АХИЛИЈА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14,23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0701-5003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РЕКОНСТРУКЦИЈА УЛИЦЕ СВЕТОГ АХИЛИЈА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141.000.000,00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14,23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451: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116.300.000,00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09</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Примања од продаје нефинансијске имовине</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17.000.000,00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70.000.000,00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451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Друмски саобраћај</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116.300.000,00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95.800.000,00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212.100.000,00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21,40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"510 Управљање отпадом"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отпадом</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"0401"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ЗАШТИТА ЖИВОТНЕ СРЕДИНЕ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0005</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комуналним отпадом</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2,12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0005</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комуналним отпадом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26.200.000,00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26.200.000,00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2,64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510: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26.200.000,00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отпадом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26.200.000,00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26.200.000,00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2,64</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"520 Управљање отпадним водама"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отпадним водама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"0401"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ЗАШТИТА ЖИВОТНЕ СРЕДИНЕ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отпадним водама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отпадним водама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520: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отпадним водама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"530 Смањење загадености"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Смањење загадености</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"0401"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ЗАШТИТА ЖИВОТНЕ СРЕДИНЕ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Праћење квалитета елемената животне средине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Праћење квалитета елемената животне средине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530: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Смањење загадености</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"550 Заштита животне средине - истраживање и развој"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550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Заштита животне средине - истраживање и развој</w:t>
                  </w:r>
                </w:p>
              </w:tc>
            </w:tr>
          </w:tbl>
          <w:p>
            <w:pPr>
              <w:pStyle w:val="Normal"/>
              <w:spacing w:lineRule="atLeast" w:line="0"/>
              <w:rPr/>
            </w:pPr>
            <w:r>
              <w:rPr/>
            </w:r>
            <w:bookmarkStart w:id="41" w:name="_Toc0401"/>
            <w:bookmarkStart w:id="42" w:name="_Toc0401"/>
            <w:bookmarkEnd w:id="42"/>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"0401"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ЗАШТИТА ЖИВОТНЕ СРЕДИНЕ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0401-5010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Побољшање отпорности на климу у Ариљу: Партипативни приступ за одрживу адаптацију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631.400,00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631.400,00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2.113.000,00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2.113.000,00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3.298.600,00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3.298.600,00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0401-5010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Побољшање отпорности на климу у Ариљу: Партипативни приступ за одрживу адаптацију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6.553.000,00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6.553.000,00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550: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6.553.000,00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550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Заштита животне средине - истраживање и развој</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6.553.000,00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6.553.000,00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"560 Заштита животне средине некласификована на другом месту"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Заштита животне средине некласификована на другом месту</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"1102"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КОМУНАЛНЕ ДЕЛАТНОСТИ</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Одржавање јавних зелених површина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0,71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Одржавање јавних зелених површина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7.506.000,00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7.506.000,00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Одржавање чистоће на површинама јавне намене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1,02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Одржавање чистоће на површинама јавне намене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10.154.000,00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10.154.000,00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1,02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560: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17.660.000,00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Заштита животне средине некласификована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1,78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"620 Развој заједнице"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620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Развој заједнице</w:t>
                  </w:r>
                </w:p>
              </w:tc>
            </w:tr>
          </w:tbl>
          <w:p>
            <w:pPr>
              <w:pStyle w:val="Normal"/>
              <w:spacing w:lineRule="atLeast" w:line="0"/>
              <w:rPr/>
            </w:pPr>
            <w:r>
              <w:rPr/>
            </w:r>
            <w:bookmarkStart w:id="43" w:name="_Toc0501"/>
            <w:bookmarkStart w:id="44" w:name="_Toc0501"/>
            <w:bookmarkEnd w:id="44"/>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"0501"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0501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ЕНЕРГЕТСКА ЕФИКАСНОСТ И ОБНОВЉИВИ ИЗВОРИ ЕНЕРГИЈЕ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0501-7009</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Енергетска санација стамбених зграда и породичних кућа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ПРИВАТНИМ ПРЕДУЗЕЋИМА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2.250.000,00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0501-7009</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Енергетска санација стамбених зграда и породичних кућа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0,45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45" w:name="_Toc1101"/>
            <w:bookmarkStart w:id="46" w:name="_Toc1101"/>
            <w:bookmarkEnd w:id="46"/>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"1101"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СТАНОВАЊЕ, УРБАНИЗАМ И ПРОСТОРНО ПЛАНИРАЊЕ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Просторно и урбанистичко планирање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1,01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Просторно и урбанистичко планирање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1,01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620: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12.250.000,00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2.250.000,00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620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Развој заједнице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12.250.000,00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1,46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"630 Водоснабдевање"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630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Водоснабдевање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"1102"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КОМУНАЛНЕ ДЕЛАТНОСТИ</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0008</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 и снабдевање водом за пиће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НАБАВКА ДОМАЋЕ ФИНАНСИЈСКЕ ИМОВИНЕ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0,61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0008</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 и снабдевање водом за пиће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630: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7.100.000,00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630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Водоснабдевање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"640 Улична расвета"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640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Улична расвета</w:t>
                  </w:r>
                </w:p>
              </w:tc>
            </w:tr>
          </w:tbl>
          <w:p>
            <w:pPr>
              <w:pStyle w:val="Normal"/>
              <w:spacing w:lineRule="atLeast" w:line="0"/>
              <w:rPr/>
            </w:pPr>
            <w:r>
              <w:rPr/>
            </w:r>
            <w:bookmarkStart w:id="47" w:name="_Toc1102"/>
            <w:bookmarkStart w:id="48" w:name="_Toc1102"/>
            <w:bookmarkEnd w:id="48"/>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"1102"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1102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КОМУНАЛНЕ ДЕЛАТНОСТИ</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Управљање/одржавање јавним осветљењем</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1,41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Управљање/одржавање јавним осветљењем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1,87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640: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18.500.000,00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640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Улична расвета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1,87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"721 Опште медицинске услуге"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721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медицинске услуге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"1801"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1801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ЗДРАВСТВЕНА ЗАШТИТА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Мртвозорство</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721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Мртвозорство</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721: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721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медицинске услуге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0,08</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"740 Услуге јавног здравства"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740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Услуге јавног здравства</w:t>
                  </w:r>
                </w:p>
              </w:tc>
            </w:tr>
          </w:tbl>
          <w:p>
            <w:pPr>
              <w:pStyle w:val="Normal"/>
              <w:spacing w:lineRule="atLeast" w:line="0"/>
              <w:rPr/>
            </w:pPr>
            <w:r>
              <w:rPr/>
            </w:r>
            <w:bookmarkStart w:id="49" w:name="_Toc1801"/>
            <w:bookmarkStart w:id="50" w:name="_Toc1801"/>
            <w:bookmarkEnd w:id="50"/>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"1801"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1801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ЗДРАВСТВЕНА ЗАШТИТА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установа примарне здравствене заштите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установа примарне здравствене заштите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740: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740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јавног здравства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0,20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"810 Услуге рекреације и спорта"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Услуге рекреације и спорта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"1301"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1301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РАЗВОЈ СПОРТА И ОМЛАДИНЕ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Подршка локалним спортским организацијама, удружењима и савезима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2,32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Подршка локалним спортским организацијама, удружењима и савезима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2,32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810: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23.000.000,00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рекреације и спорта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2,32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"830 Услуге емитовања и штампања"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830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Услуге емитовања и штампања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"1201"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1201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РАЗВОЈ КУЛТУРЕ И ИНФОРМИСАЊА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Остваривање и унапређивање јавног интереса у области јавног информисања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ПРИВАТНИМ ПРЕДУЗЕЋИМА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0,50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Остваривање и унапређивање јавног интереса у области јавног информисања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830: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830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емитовања и штампања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"840 Верске и остале услуге заједнице"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840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Верске и остале услуге заједнице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Пројекат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0602-4006</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ОДРЖИВО ФУНКЦИОНИСАЊЕ НВО</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0,71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пројекат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0602-4006</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ОДРЖИВО ФУНКЦИОНИСАЊЕ НВО</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0,71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"1201"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1201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РАЗВОЈ КУЛТУРЕ И ИНФОРМИСАЊА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Унапређење система очувања и представљања културно-историјског наслеђа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Унапређење система очувања и представљања културно-историјског наслеђа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0,10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840: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840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Верске и остале услуге заједнице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0,81</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"912 Основно образовање"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912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Основно образовање</w:t>
                  </w:r>
                </w:p>
              </w:tc>
            </w:tr>
          </w:tbl>
          <w:p>
            <w:pPr>
              <w:pStyle w:val="Normal"/>
              <w:spacing w:lineRule="atLeast" w:line="0"/>
              <w:rPr/>
            </w:pPr>
            <w:r>
              <w:rPr/>
            </w:r>
            <w:bookmarkStart w:id="51" w:name="_Toc2003"/>
            <w:bookmarkStart w:id="52" w:name="_Toc2003"/>
            <w:bookmarkEnd w:id="52"/>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"2003"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2003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ОСНОВНО ОБРАЗОВАЊЕ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Реализација делатности основног образовања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912</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85.834.000,00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85.834.000,00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8,66</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Реализација делатности основног образовања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85.834.000,00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85.834.000,00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8,66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912:</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85.834.000,00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912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Основно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85.834.000,00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85.834.000,00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8,66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"920 Средње образовање"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Средње образовање</w:t>
                  </w:r>
                </w:p>
              </w:tc>
            </w:tr>
          </w:tbl>
          <w:p>
            <w:pPr>
              <w:pStyle w:val="Normal"/>
              <w:spacing w:lineRule="atLeast" w:line="0"/>
              <w:rPr/>
            </w:pPr>
            <w:r>
              <w:rPr/>
            </w:r>
            <w:bookmarkStart w:id="53" w:name="_Toc2004"/>
            <w:bookmarkStart w:id="54" w:name="_Toc2004"/>
            <w:bookmarkEnd w:id="54"/>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"2004"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СРЕДЊЕ ОБРАЗОВАЊЕ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Реализација делатности средњег образовања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19.842.000,00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19.842.000,00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2,00</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Реализација делатности средњег образовања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920: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19.842.000,00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Средње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"950 Образовање које није дефинисано нивоом"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950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Образовање које није дефинисано нивоом</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локалне самоуправе и градских општина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950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30.600.000,00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3,09</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локалне самоуправе и градских општина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30.600.000,00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30.600.000,00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3,09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950: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30.600.000,00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950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Образовање које није дефинисано нивоом</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30.600.000,00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30.600.000,00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3,09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"5.01 ПРЕДШКОЛСКО ОБРАЗОВАЊЕ"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ПРЕДШКОЛСКО ОБРАЗОВАЊЕ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"911 Предшколско образовање"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911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Предшколско образовање</w:t>
                  </w:r>
                </w:p>
              </w:tc>
            </w:tr>
          </w:tbl>
          <w:p>
            <w:pPr>
              <w:pStyle w:val="Normal"/>
              <w:spacing w:lineRule="atLeast" w:line="0"/>
              <w:rPr/>
            </w:pPr>
            <w:r>
              <w:rPr/>
            </w:r>
            <w:bookmarkStart w:id="55" w:name="_Toc2002"/>
            <w:bookmarkStart w:id="56" w:name="_Toc2002"/>
            <w:bookmarkEnd w:id="56"/>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"2002"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ПРЕДШКОЛСКО ВАСПИТАЊЕ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и остваривање предшколскогваспитања и образовања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127.556.870,00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5.778.693,00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133.335.563,00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13,45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19.324.850,00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875.472,00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20.200.322,00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2,04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18.240.000,00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18.255.000,00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1,84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1.490.000,00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1.110.000,00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1.665.000,00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1.665.000,00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16.044.000,00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16.044.000,00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1,62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911</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и остваривање предшколскогваспитања и образовања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7.979.165,00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207.754.885,00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20,96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911: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6.654.165,00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911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Предшколско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7.979.165,00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207.754.885,00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20,96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5.01:</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6.654.165,00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ПРЕДШКОЛСКО ОБРАЗОВАЊЕ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7.979.165,00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207.754.885,00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20,96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 МЕСНЕ ЗАЈЕДНИЦЕ"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МЕСНЕ ЗАЈЕДНИЦЕ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"160 Опште јавне услуге некласификоване на другом месту"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160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јавне услуге некласификоване на другом месту</w:t>
                  </w:r>
                </w:p>
              </w:tc>
            </w:tr>
          </w:tbl>
          <w:p>
            <w:pPr>
              <w:pStyle w:val="Normal"/>
              <w:spacing w:lineRule="atLeast" w:line="0"/>
              <w:rPr/>
            </w:pPr>
            <w:r>
              <w:rPr/>
            </w:r>
            <w:bookmarkStart w:id="57" w:name="_Toc0602"/>
            <w:bookmarkStart w:id="58" w:name="_Toc0602"/>
            <w:bookmarkEnd w:id="58"/>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"0602"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0602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ОПШТЕ УСЛУГЕ ЛОКАЛНЕ САМОУПРАВЕ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месних заједница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1.386.000,00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1.786.000,00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4.614.000,00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4.614.000,00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0,47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месних заједница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160: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160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Опште јавне услуге некласификоване на другом месту</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5.02:</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МЕСНЕ ЗАЈЕДНИЦЕ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6.500.000,00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0,66</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"5.03 УСЛУГЕ КУЛТУРЕ"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5.03</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УСЛУГЕ КУЛТУРЕ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"820 Услуге културе"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820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Услуге културе</w:t>
                  </w:r>
                </w:p>
              </w:tc>
            </w:tr>
          </w:tbl>
          <w:p>
            <w:pPr>
              <w:pStyle w:val="Normal"/>
              <w:spacing w:lineRule="atLeast" w:line="0"/>
              <w:rPr/>
            </w:pPr>
            <w:r>
              <w:rPr/>
            </w:r>
            <w:bookmarkStart w:id="59" w:name="_Toc1201"/>
            <w:bookmarkStart w:id="60" w:name="_Toc1201"/>
            <w:bookmarkEnd w:id="60"/>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"1201"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1201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РАЗВОЈ КУЛТУРЕ И ИНФОРМИСАЊА</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локалних установа културе</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1,55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2.329.220,00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2.329.220,00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667.000,00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667.000,00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2.780.000,00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2.820.000,00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2.120.000,00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2.170.000,00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0,06</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0001</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локалних установа културе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25.475.610,00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25.687.610,00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2,59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0002</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Јачање културне продукције и уметничког стваралаштва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0002</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Јачање културне продукције и уметничког стваралаштва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3.620.000,00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3.920.000,00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0,40</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820: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29.095.610,00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820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културе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29.095.610,00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29.607.610,00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2,99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5.03:</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29.095.610,00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5.03</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КУЛТУРЕ</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29.095.610,00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29.607.610,00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2,99</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"5.04 РЕКРЕАЦИЈА И СПОРТ"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РЕКРЕАЦИЈА И СПОРТ</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"810 Услуге рекреације и спорта" \l 1 </w:instrText>
            </w:r>
            <w:r>
              <w:rPr/>
              <w:fldChar w:fldCharType="separate"/>
            </w:r>
            <w:r>
              <w:rPr/>
            </w:r>
            <w:r>
              <w:rPr/>
              <w:fldChar w:fldCharType="end"/>
            </w:r>
          </w:p>
          <w:p>
            <w:pPr>
              <w:pStyle w:val="Normal"/>
              <w:rPr>
                <w:b/>
                <w:bCs/>
                <w:color w:val="000000"/>
                <w:sz w:val="16"/>
                <w:szCs w:val="16"/>
              </w:rPr>
            </w:pPr>
            <w:r>
              <w:rPr>
                <w:b/>
                <w:bCs/>
                <w:color w:val="000000"/>
                <w:sz w:val="16"/>
                <w:szCs w:val="16"/>
              </w:rPr>
              <w:t>Функц. клас.</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810</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Услуге рекреације и спорта</w:t>
                  </w:r>
                </w:p>
              </w:tc>
            </w:tr>
          </w:tbl>
          <w:p>
            <w:pPr>
              <w:pStyle w:val="Normal"/>
              <w:spacing w:lineRule="atLeast" w:line="0"/>
              <w:rPr/>
            </w:pPr>
            <w:r>
              <w:rPr/>
            </w:r>
            <w:bookmarkStart w:id="61" w:name="_Toc1301"/>
            <w:bookmarkStart w:id="62" w:name="_Toc1301"/>
            <w:bookmarkEnd w:id="62"/>
          </w:p>
        </w:tc>
      </w:tr>
      <w:tr>
        <w:trPr/>
        <w:tc>
          <w:tcPr>
            <w:tcW w:w="97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"1301" \l 1 </w:instrText>
            </w:r>
            <w:r>
              <w:rPr/>
              <w:fldChar w:fldCharType="separate"/>
            </w:r>
            <w:r>
              <w:rPr/>
            </w:r>
            <w:r>
              <w:rPr/>
              <w:fldChar w:fldCharType="end"/>
            </w:r>
          </w:p>
          <w:p>
            <w:pPr>
              <w:pStyle w:val="Normal"/>
              <w:rPr>
                <w:b/>
                <w:bCs/>
                <w:color w:val="000000"/>
                <w:sz w:val="16"/>
                <w:szCs w:val="16"/>
              </w:rPr>
            </w:pPr>
            <w:r>
              <w:rPr>
                <w:b/>
                <w:bCs/>
                <w:color w:val="000000"/>
                <w:sz w:val="16"/>
                <w:szCs w:val="16"/>
              </w:rPr>
              <w:t>Програм</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1301</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РАЗВОЈ СПОРТА И ОМЛАДИНЕ</w:t>
                  </w:r>
                </w:p>
              </w:tc>
            </w:tr>
          </w:tbl>
          <w:p>
            <w:pPr>
              <w:pStyle w:val="Normal"/>
              <w:spacing w:lineRule="atLeast" w:line="0"/>
              <w:rPr/>
            </w:pPr>
            <w:r>
              <w:rPr/>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vAlign w:val="center"/>
          </w:tcPr>
          <w:p>
            <w:pPr>
              <w:pStyle w:val="Normal"/>
              <w:rPr>
                <w:b/>
                <w:bCs/>
                <w:color w:val="000000"/>
                <w:sz w:val="16"/>
                <w:szCs w:val="16"/>
              </w:rPr>
            </w:pPr>
            <w:r>
              <w:rPr>
                <w:b/>
                <w:bCs/>
                <w:color w:val="000000"/>
                <w:sz w:val="16"/>
                <w:szCs w:val="16"/>
              </w:rPr>
              <w:t>Активност</w:t>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0004</w:t>
            </w:r>
          </w:p>
        </w:tc>
        <w:tc>
          <w:tcPr>
            <w:tcW w:w="14241" w:type="dxa"/>
            <w:gridSpan w:val="7"/>
            <w:tcBorders>
              <w:top w:val="single" w:sz="6" w:space="0" w:color="000000"/>
              <w:bottom w:val="single" w:sz="6" w:space="0" w:color="000000"/>
              <w:right w:val="single" w:sz="6" w:space="0" w:color="000000"/>
            </w:tcBorders>
            <w:vAlign w:val="center"/>
          </w:tcPr>
          <w:tbl>
            <w:tblPr>
              <w:tblW w:w="14242"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4242"/>
            </w:tblGrid>
            <w:tr>
              <w:trPr/>
              <w:tc>
                <w:tcPr>
                  <w:tcW w:w="14242" w:type="dxa"/>
                  <w:tcBorders/>
                </w:tcPr>
                <w:p>
                  <w:pPr>
                    <w:pStyle w:val="Normal"/>
                    <w:rPr/>
                  </w:pPr>
                  <w:r>
                    <w:rPr>
                      <w:b/>
                      <w:bCs/>
                      <w:color w:val="000000"/>
                      <w:sz w:val="16"/>
                      <w:szCs w:val="16"/>
                    </w:rPr>
                    <w:t>Функционисање локалних спортских установа</w:t>
                  </w:r>
                </w:p>
              </w:tc>
            </w:tr>
          </w:tbl>
          <w:p>
            <w:pPr>
              <w:pStyle w:val="Normal"/>
              <w:spacing w:lineRule="atLeast" w:line="0"/>
              <w:rPr/>
            </w:pPr>
            <w:r>
              <w:rPr/>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0,67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1.007.730,00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1.007.730,00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0,10</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138/0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0,01</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139/0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0,05</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2.705.000,00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2.725.000,00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0,27</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141/0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392.000,00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392.000,00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3.886.000,00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3.886.000,00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0,39</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143/0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0,38</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144/0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2.350.000,00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0,24</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650.000,00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580.000,00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1.230.000,00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0,12</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146/0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0,03</w:t>
            </w:r>
          </w:p>
        </w:tc>
      </w:tr>
      <w:tr>
        <w:trPr/>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147/0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6068"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49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199" w:type="dxa"/>
            <w:tcBorders>
              <w:top w:val="single" w:sz="6" w:space="0" w:color="000000"/>
              <w:left w:val="single" w:sz="6" w:space="0" w:color="000000"/>
              <w:bottom w:val="single" w:sz="6" w:space="0" w:color="000000"/>
              <w:right w:val="single" w:sz="6" w:space="0" w:color="000000"/>
            </w:tcBorders>
            <w:tcMar>
              <w:right w:w="20" w:type="dxa"/>
            </w:tcMar>
            <w:vAlign w:val="center"/>
          </w:tcPr>
          <w:p>
            <w:pPr>
              <w:pStyle w:val="Normal"/>
              <w:jc w:val="right"/>
              <w:rPr>
                <w:color w:val="000000"/>
                <w:sz w:val="16"/>
                <w:szCs w:val="16"/>
              </w:rPr>
            </w:pPr>
            <w:r>
              <w:rPr>
                <w:color w:val="000000"/>
                <w:sz w:val="16"/>
                <w:szCs w:val="16"/>
              </w:rPr>
              <w:t>0,02</w:t>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активност</w:t>
            </w:r>
          </w:p>
        </w:tc>
        <w:tc>
          <w:tcPr>
            <w:tcW w:w="975"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0004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Функционисање локалних спортских установа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22.497.470,00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23.097.470,00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2,33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функцију 810: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22.497.470,00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810</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Услуге рекреације и спорта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22.497.470,00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23.097.470,00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2,33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главу 5.04:</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22.497.470,00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главу</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5.04</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РЕКРЕАЦИЈА И СПОРТ</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22.497.470,00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23.097.470,00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2,33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раздео 5:</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848.473.578,00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7.809.200,00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6.654.165,00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09</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Примања од продаје нефинансијске имовине</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17.000.000,00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72.250.000,00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75"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w:t>
            </w:r>
          </w:p>
        </w:tc>
        <w:tc>
          <w:tcPr>
            <w:tcW w:w="6068"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ОПШТИНСКА УПРАВА</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848.473.578,00</w:t>
            </w:r>
          </w:p>
        </w:tc>
        <w:tc>
          <w:tcPr>
            <w:tcW w:w="150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114.338.365,00</w:t>
            </w:r>
          </w:p>
        </w:tc>
        <w:tc>
          <w:tcPr>
            <w:tcW w:w="149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963.923.943,00</w:t>
            </w:r>
          </w:p>
        </w:tc>
        <w:tc>
          <w:tcPr>
            <w:tcW w:w="1199" w:type="dxa"/>
            <w:tcBorders>
              <w:top w:val="single" w:sz="6" w:space="0" w:color="000000"/>
              <w:bottom w:val="single" w:sz="6" w:space="0" w:color="000000"/>
            </w:tcBorders>
            <w:shd w:color="auto" w:fill="F5F5F5" w:val="clear"/>
            <w:tcMar>
              <w:right w:w="20" w:type="dxa"/>
            </w:tcMar>
          </w:tcPr>
          <w:p>
            <w:pPr>
              <w:pStyle w:val="Normal"/>
              <w:jc w:val="right"/>
              <w:rPr>
                <w:b/>
                <w:bCs/>
                <w:color w:val="000000"/>
                <w:sz w:val="16"/>
                <w:szCs w:val="16"/>
              </w:rPr>
            </w:pPr>
            <w:r>
              <w:rPr>
                <w:b/>
                <w:bCs/>
                <w:color w:val="000000"/>
                <w:sz w:val="16"/>
                <w:szCs w:val="16"/>
              </w:rPr>
              <w:t>97,25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spacing w:lineRule="atLeast" w:line="0"/>
              <w:jc w:val="center"/>
              <w:rPr/>
            </w:pPr>
            <w:r>
              <w:rPr/>
            </w:r>
          </w:p>
        </w:tc>
        <w:tc>
          <w:tcPr>
            <w:tcW w:w="6068" w:type="dxa"/>
            <w:tcBorders>
              <w:top w:val="single" w:sz="6" w:space="0" w:color="000000"/>
              <w:bottom w:val="single" w:sz="6" w:space="0" w:color="000000"/>
            </w:tcBorders>
          </w:tcPr>
          <w:tbl>
            <w:tblPr>
              <w:tblW w:w="606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067"/>
            </w:tblGrid>
            <w:tr>
              <w:trPr/>
              <w:tc>
                <w:tcPr>
                  <w:tcW w:w="6067" w:type="dxa"/>
                  <w:tcBorders/>
                </w:tcPr>
                <w:p>
                  <w:pPr>
                    <w:pStyle w:val="Normal"/>
                    <w:rPr>
                      <w:b/>
                      <w:bCs/>
                      <w:color w:val="000000"/>
                      <w:sz w:val="16"/>
                      <w:szCs w:val="16"/>
                    </w:rPr>
                  </w:pPr>
                  <w:r>
                    <w:rPr>
                      <w:b/>
                      <w:bCs/>
                      <w:color w:val="000000"/>
                      <w:sz w:val="16"/>
                      <w:szCs w:val="16"/>
                    </w:rPr>
                    <w:t>Извори финансирања за БК 0:</w:t>
                  </w:r>
                </w:p>
                <w:p>
                  <w:pPr>
                    <w:pStyle w:val="Normal"/>
                    <w:spacing w:lineRule="atLeast" w:line="0"/>
                    <w:rPr/>
                  </w:pPr>
                  <w:r>
                    <w:rPr/>
                  </w:r>
                </w:p>
              </w:tc>
            </w:tr>
          </w:tbl>
          <w:p>
            <w:pPr>
              <w:pStyle w:val="Normal"/>
              <w:spacing w:lineRule="atLeast" w:line="0"/>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01</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Приходе из буџета</w:t>
            </w:r>
          </w:p>
        </w:tc>
        <w:tc>
          <w:tcPr>
            <w:tcW w:w="1499"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875.756.368,00</w:t>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04</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Сопствене приходе буџетских корисника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tcPr>
          <w:p>
            <w:pPr>
              <w:pStyle w:val="Normal"/>
              <w:spacing w:lineRule="atLeast" w:line="0"/>
              <w:jc w:val="right"/>
              <w:rPr/>
            </w:pPr>
            <w:r>
              <w:rPr/>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Донације од међународних организација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7.809.200,00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Трансфере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6.654.165,00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08</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Добровољне трансфере од физичких и правних лица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8.500.000,00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09</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Примања од продаје нефинансијске имовине</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800.000,00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13</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Нераспоређени вишак прихода из ранијих година</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17.000.000,00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16</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Родитељски динар за ваннаставне активности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1.325.000,00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975" w:type="dxa"/>
            <w:tcBorders>
              <w:top w:val="single" w:sz="6" w:space="0" w:color="000000"/>
              <w:left w:val="single" w:sz="6" w:space="0" w:color="000000"/>
              <w:bottom w:val="single" w:sz="6" w:space="0" w:color="000000"/>
            </w:tcBorders>
          </w:tcPr>
          <w:p>
            <w:pPr>
              <w:pStyle w:val="Normal"/>
              <w:spacing w:lineRule="atLeast" w:line="0"/>
              <w:rPr/>
            </w:pPr>
            <w:r>
              <w:rPr/>
            </w:r>
          </w:p>
        </w:tc>
        <w:tc>
          <w:tcPr>
            <w:tcW w:w="899" w:type="dxa"/>
            <w:tcBorders>
              <w:top w:val="single" w:sz="6" w:space="0" w:color="000000"/>
              <w:bottom w:val="single" w:sz="6" w:space="0" w:color="000000"/>
            </w:tcBorders>
          </w:tcPr>
          <w:p>
            <w:pPr>
              <w:pStyle w:val="Normal"/>
              <w:spacing w:lineRule="atLeast" w:line="0"/>
              <w:rPr/>
            </w:pPr>
            <w:r>
              <w:rPr/>
            </w:r>
          </w:p>
        </w:tc>
        <w:tc>
          <w:tcPr>
            <w:tcW w:w="975" w:type="dxa"/>
            <w:tcBorders>
              <w:top w:val="single" w:sz="6" w:space="0" w:color="000000"/>
              <w:bottom w:val="single" w:sz="6" w:space="0" w:color="000000"/>
            </w:tcBorders>
          </w:tcPr>
          <w:p>
            <w:pPr>
              <w:pStyle w:val="Normal"/>
              <w:jc w:val="center"/>
              <w:rPr>
                <w:b/>
                <w:bCs/>
                <w:color w:val="000000"/>
                <w:sz w:val="16"/>
                <w:szCs w:val="16"/>
              </w:rPr>
            </w:pPr>
            <w:r>
              <w:rPr>
                <w:b/>
                <w:bCs/>
                <w:color w:val="000000"/>
                <w:sz w:val="16"/>
                <w:szCs w:val="16"/>
              </w:rPr>
              <w:t>17</w:t>
            </w:r>
          </w:p>
        </w:tc>
        <w:tc>
          <w:tcPr>
            <w:tcW w:w="6068" w:type="dxa"/>
            <w:tcBorders>
              <w:top w:val="single" w:sz="6" w:space="0" w:color="000000"/>
              <w:bottom w:val="single" w:sz="6" w:space="0" w:color="000000"/>
            </w:tcBorders>
          </w:tcPr>
          <w:p>
            <w:pPr>
              <w:pStyle w:val="Normal"/>
              <w:rPr>
                <w:b/>
                <w:bCs/>
                <w:color w:val="000000"/>
                <w:sz w:val="16"/>
                <w:szCs w:val="16"/>
              </w:rPr>
            </w:pPr>
            <w:r>
              <w:rPr>
                <w:b/>
                <w:bCs/>
                <w:color w:val="000000"/>
                <w:sz w:val="16"/>
                <w:szCs w:val="16"/>
              </w:rPr>
              <w:t>Неутрошена средства трансфера од других нивоа власти</w:t>
            </w:r>
          </w:p>
        </w:tc>
        <w:tc>
          <w:tcPr>
            <w:tcW w:w="1499" w:type="dxa"/>
            <w:tcBorders>
              <w:top w:val="single" w:sz="6" w:space="0" w:color="000000"/>
              <w:bottom w:val="single" w:sz="6" w:space="0" w:color="000000"/>
            </w:tcBorders>
          </w:tcPr>
          <w:p>
            <w:pPr>
              <w:pStyle w:val="Normal"/>
              <w:spacing w:lineRule="atLeast" w:line="0"/>
              <w:jc w:val="right"/>
              <w:rPr/>
            </w:pPr>
            <w:r>
              <w:rPr/>
            </w:r>
          </w:p>
        </w:tc>
        <w:tc>
          <w:tcPr>
            <w:tcW w:w="1500" w:type="dxa"/>
            <w:tcBorders>
              <w:top w:val="single" w:sz="6" w:space="0" w:color="000000"/>
              <w:bottom w:val="single" w:sz="6" w:space="0" w:color="000000"/>
            </w:tcBorders>
          </w:tcPr>
          <w:p>
            <w:pPr>
              <w:pStyle w:val="Normal"/>
              <w:spacing w:lineRule="atLeast" w:line="0"/>
              <w:jc w:val="right"/>
              <w:rPr/>
            </w:pPr>
            <w:r>
              <w:rPr/>
            </w:r>
          </w:p>
        </w:tc>
        <w:tc>
          <w:tcPr>
            <w:tcW w:w="1501" w:type="dxa"/>
            <w:tcBorders>
              <w:top w:val="single" w:sz="6" w:space="0" w:color="000000"/>
              <w:bottom w:val="single" w:sz="6" w:space="0" w:color="000000"/>
            </w:tcBorders>
          </w:tcPr>
          <w:p>
            <w:pPr>
              <w:pStyle w:val="Normal"/>
              <w:jc w:val="right"/>
              <w:rPr>
                <w:b/>
                <w:bCs/>
                <w:color w:val="000000"/>
                <w:sz w:val="16"/>
                <w:szCs w:val="16"/>
              </w:rPr>
            </w:pPr>
            <w:r>
              <w:rPr>
                <w:b/>
                <w:bCs/>
                <w:color w:val="000000"/>
                <w:sz w:val="16"/>
                <w:szCs w:val="16"/>
              </w:rPr>
              <w:t>72.250.000,00</w:t>
            </w:r>
          </w:p>
        </w:tc>
        <w:tc>
          <w:tcPr>
            <w:tcW w:w="1499" w:type="dxa"/>
            <w:tcBorders>
              <w:top w:val="single" w:sz="6" w:space="0" w:color="000000"/>
              <w:bottom w:val="single" w:sz="6" w:space="0" w:color="000000"/>
            </w:tcBorders>
          </w:tcPr>
          <w:p>
            <w:pPr>
              <w:pStyle w:val="Normal"/>
              <w:spacing w:lineRule="atLeast" w:line="0"/>
              <w:jc w:val="right"/>
              <w:rPr/>
            </w:pPr>
            <w:r>
              <w:rPr/>
            </w:r>
          </w:p>
        </w:tc>
        <w:tc>
          <w:tcPr>
            <w:tcW w:w="1199" w:type="dxa"/>
            <w:tcBorders>
              <w:top w:val="single" w:sz="6" w:space="0" w:color="000000"/>
              <w:bottom w:val="single" w:sz="6" w:space="0" w:color="000000"/>
            </w:tcBorders>
            <w:tcMar>
              <w:right w:w="20" w:type="dxa"/>
            </w:tcMar>
          </w:tcPr>
          <w:p>
            <w:pPr>
              <w:pStyle w:val="Normal"/>
              <w:spacing w:lineRule="atLeast" w:line="0"/>
              <w:jc w:val="right"/>
              <w:rPr/>
            </w:pPr>
            <w:r>
              <w:rPr/>
            </w:r>
          </w:p>
        </w:tc>
      </w:tr>
      <w:tr>
        <w:trPr/>
        <w:tc>
          <w:tcPr>
            <w:tcW w:w="1874" w:type="dxa"/>
            <w:gridSpan w:val="2"/>
            <w:tcBorders>
              <w:top w:val="single" w:sz="6" w:space="0" w:color="000000"/>
              <w:left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Укупно за БК</w:t>
            </w:r>
          </w:p>
        </w:tc>
        <w:tc>
          <w:tcPr>
            <w:tcW w:w="975" w:type="dxa"/>
            <w:tcBorders>
              <w:top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0</w:t>
            </w:r>
          </w:p>
        </w:tc>
        <w:tc>
          <w:tcPr>
            <w:tcW w:w="6068" w:type="dxa"/>
            <w:tcBorders>
              <w:top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БУЏЕТ ОПШТИНЕ АРИЉЕ</w:t>
            </w:r>
          </w:p>
        </w:tc>
        <w:tc>
          <w:tcPr>
            <w:tcW w:w="1499"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875.756.368,00</w:t>
            </w:r>
          </w:p>
        </w:tc>
        <w:tc>
          <w:tcPr>
            <w:tcW w:w="150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1.112.000,00</w:t>
            </w:r>
          </w:p>
        </w:tc>
        <w:tc>
          <w:tcPr>
            <w:tcW w:w="1501"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114.338.365,00</w:t>
            </w:r>
          </w:p>
        </w:tc>
        <w:tc>
          <w:tcPr>
            <w:tcW w:w="1499"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991.206.733,00</w:t>
            </w:r>
          </w:p>
        </w:tc>
        <w:tc>
          <w:tcPr>
            <w:tcW w:w="1199" w:type="dxa"/>
            <w:tcBorders>
              <w:top w:val="single" w:sz="6" w:space="0" w:color="000000"/>
              <w:bottom w:val="single" w:sz="6" w:space="0" w:color="000000"/>
            </w:tcBorders>
            <w:shd w:color="auto" w:fill="E9E9E9" w:val="clear"/>
            <w:tcMar>
              <w:right w:w="20" w:type="dxa"/>
            </w:tcMar>
          </w:tcPr>
          <w:p>
            <w:pPr>
              <w:pStyle w:val="Normal"/>
              <w:jc w:val="right"/>
              <w:rPr>
                <w:b/>
                <w:bCs/>
                <w:color w:val="000000"/>
                <w:sz w:val="16"/>
                <w:szCs w:val="16"/>
              </w:rPr>
            </w:pPr>
            <w:r>
              <w:rPr>
                <w:b/>
                <w:bCs/>
                <w:color w:val="000000"/>
                <w:sz w:val="16"/>
                <w:szCs w:val="16"/>
              </w:rPr>
              <w:t>100,00</w:t>
            </w:r>
          </w:p>
        </w:tc>
      </w:tr>
      <w:tr>
        <w:trPr>
          <w:trHeight w:val="230" w:hRule="atLeast"/>
        </w:trPr>
        <w:tc>
          <w:tcPr>
            <w:tcW w:w="16115" w:type="dxa"/>
            <w:gridSpan w:val="9"/>
            <w:tcBorders/>
          </w:tcPr>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6933"/>
              <w:gridCol w:w="2250"/>
              <w:gridCol w:w="6934"/>
            </w:tblGrid>
            <w:tr>
              <w:trPr>
                <w:trHeight w:val="300" w:hRule="exact"/>
              </w:trPr>
              <w:tc>
                <w:tcPr>
                  <w:tcW w:w="6933" w:type="dxa"/>
                  <w:tcBorders/>
                </w:tcPr>
                <w:p>
                  <w:pPr>
                    <w:pStyle w:val="Normal"/>
                    <w:spacing w:lineRule="atLeast" w:line="0"/>
                    <w:rPr/>
                  </w:pPr>
                  <w:r>
                    <w:rPr/>
                  </w:r>
                </w:p>
              </w:tc>
              <w:tc>
                <w:tcPr>
                  <w:tcW w:w="2250" w:type="dxa"/>
                  <w:tcBorders/>
                </w:tcPr>
                <w:p>
                  <w:pPr>
                    <w:pStyle w:val="Normal"/>
                    <w:spacing w:lineRule="atLeast" w:line="0"/>
                    <w:rPr/>
                  </w:pPr>
                  <w:r>
                    <w:rPr/>
                  </w:r>
                </w:p>
              </w:tc>
              <w:tc>
                <w:tcPr>
                  <w:tcW w:w="6934" w:type="dxa"/>
                  <w:tcBorders/>
                </w:tcPr>
                <w:p>
                  <w:pPr>
                    <w:pStyle w:val="Normal"/>
                    <w:spacing w:lineRule="atLeast" w:line="0"/>
                    <w:rPr/>
                  </w:pPr>
                  <w:r>
                    <w:rPr/>
                  </w:r>
                </w:p>
              </w:tc>
            </w:tr>
            <w:tr>
              <w:trPr>
                <w:trHeight w:val="330" w:hRule="exact"/>
              </w:trPr>
              <w:tc>
                <w:tcPr>
                  <w:tcW w:w="6933" w:type="dxa"/>
                  <w:tcBorders/>
                </w:tcPr>
                <w:p>
                  <w:pPr>
                    <w:pStyle w:val="Normal"/>
                    <w:jc w:val="center"/>
                    <w:rPr>
                      <w:color w:val="000000"/>
                      <w:sz w:val="16"/>
                      <w:szCs w:val="16"/>
                    </w:rPr>
                  </w:pPr>
                  <w:r>
                    <w:rPr>
                      <w:color w:val="000000"/>
                      <w:sz w:val="16"/>
                      <w:szCs w:val="16"/>
                    </w:rPr>
                  </w:r>
                </w:p>
              </w:tc>
              <w:tc>
                <w:tcPr>
                  <w:tcW w:w="2250" w:type="dxa"/>
                  <w:tcBorders/>
                </w:tcPr>
                <w:p>
                  <w:pPr>
                    <w:pStyle w:val="Normal"/>
                    <w:spacing w:lineRule="atLeast" w:line="0"/>
                    <w:rPr/>
                  </w:pPr>
                  <w:r>
                    <w:rPr/>
                  </w:r>
                </w:p>
              </w:tc>
              <w:tc>
                <w:tcPr>
                  <w:tcW w:w="6934" w:type="dxa"/>
                  <w:tcBorders/>
                </w:tcPr>
                <w:p>
                  <w:pPr>
                    <w:pStyle w:val="Normal"/>
                    <w:jc w:val="center"/>
                    <w:rPr>
                      <w:color w:val="000000"/>
                      <w:sz w:val="16"/>
                      <w:szCs w:val="16"/>
                    </w:rPr>
                  </w:pPr>
                  <w:r>
                    <w:rPr>
                      <w:color w:val="000000"/>
                      <w:sz w:val="16"/>
                      <w:szCs w:val="16"/>
                    </w:rPr>
                  </w:r>
                </w:p>
              </w:tc>
            </w:tr>
            <w:tr>
              <w:trPr>
                <w:trHeight w:val="330" w:hRule="exact"/>
              </w:trPr>
              <w:tc>
                <w:tcPr>
                  <w:tcW w:w="6933" w:type="dxa"/>
                  <w:tcBorders/>
                </w:tcPr>
                <w:p>
                  <w:pPr>
                    <w:pStyle w:val="Normal"/>
                    <w:jc w:val="center"/>
                    <w:rPr>
                      <w:color w:val="000000"/>
                      <w:sz w:val="16"/>
                      <w:szCs w:val="16"/>
                    </w:rPr>
                  </w:pPr>
                  <w:r>
                    <w:rPr>
                      <w:color w:val="000000"/>
                      <w:sz w:val="16"/>
                      <w:szCs w:val="16"/>
                    </w:rPr>
                  </w:r>
                </w:p>
              </w:tc>
              <w:tc>
                <w:tcPr>
                  <w:tcW w:w="2250" w:type="dxa"/>
                  <w:tcBorders/>
                </w:tcPr>
                <w:p>
                  <w:pPr>
                    <w:pStyle w:val="Normal"/>
                    <w:spacing w:lineRule="atLeast" w:line="0"/>
                    <w:rPr/>
                  </w:pPr>
                  <w:r>
                    <w:rPr/>
                  </w:r>
                </w:p>
              </w:tc>
              <w:tc>
                <w:tcPr>
                  <w:tcW w:w="6934" w:type="dxa"/>
                  <w:tcBorders/>
                </w:tcPr>
                <w:p>
                  <w:pPr>
                    <w:pStyle w:val="Normal"/>
                    <w:jc w:val="center"/>
                    <w:rPr>
                      <w:color w:val="000000"/>
                      <w:sz w:val="16"/>
                      <w:szCs w:val="16"/>
                    </w:rPr>
                  </w:pPr>
                  <w:r>
                    <w:rPr>
                      <w:color w:val="000000"/>
                      <w:sz w:val="16"/>
                      <w:szCs w:val="16"/>
                    </w:rPr>
                  </w:r>
                </w:p>
              </w:tc>
            </w:tr>
            <w:tr>
              <w:trPr>
                <w:trHeight w:val="360" w:hRule="exact"/>
              </w:trPr>
              <w:tc>
                <w:tcPr>
                  <w:tcW w:w="6933" w:type="dxa"/>
                  <w:tcBorders/>
                </w:tcPr>
                <w:p>
                  <w:pPr>
                    <w:pStyle w:val="Normal"/>
                    <w:spacing w:lineRule="atLeast" w:line="0"/>
                    <w:rPr/>
                  </w:pPr>
                  <w:r>
                    <w:rPr/>
                  </w:r>
                </w:p>
              </w:tc>
              <w:tc>
                <w:tcPr>
                  <w:tcW w:w="2250" w:type="dxa"/>
                  <w:tcBorders/>
                </w:tcPr>
                <w:p>
                  <w:pPr>
                    <w:pStyle w:val="Normal"/>
                    <w:jc w:val="center"/>
                    <w:rPr>
                      <w:color w:val="000000"/>
                      <w:sz w:val="16"/>
                      <w:szCs w:val="16"/>
                    </w:rPr>
                  </w:pPr>
                  <w:r>
                    <w:rPr>
                      <w:color w:val="000000"/>
                      <w:sz w:val="16"/>
                      <w:szCs w:val="16"/>
                    </w:rPr>
                    <w:t>М.П.</w:t>
                  </w:r>
                </w:p>
              </w:tc>
              <w:tc>
                <w:tcPr>
                  <w:tcW w:w="6934" w:type="dxa"/>
                  <w:tcBorders/>
                </w:tcPr>
                <w:p>
                  <w:pPr>
                    <w:pStyle w:val="Normal"/>
                    <w:spacing w:lineRule="atLeast" w:line="0"/>
                    <w:rPr/>
                  </w:pPr>
                  <w:r>
                    <w:rPr/>
                  </w:r>
                </w:p>
              </w:tc>
            </w:tr>
            <w:tr>
              <w:trPr>
                <w:trHeight w:val="600" w:hRule="exact"/>
              </w:trPr>
              <w:tc>
                <w:tcPr>
                  <w:tcW w:w="6933" w:type="dxa"/>
                  <w:tcBorders/>
                </w:tcPr>
                <w:p>
                  <w:pPr>
                    <w:pStyle w:val="Normal"/>
                    <w:jc w:val="center"/>
                    <w:rPr>
                      <w:color w:val="000000"/>
                      <w:sz w:val="16"/>
                      <w:szCs w:val="16"/>
                    </w:rPr>
                  </w:pPr>
                  <w:r>
                    <w:rPr>
                      <w:color w:val="000000"/>
                      <w:sz w:val="16"/>
                      <w:szCs w:val="16"/>
                    </w:rPr>
                    <w:t>__________________________________________</w:t>
                  </w:r>
                </w:p>
              </w:tc>
              <w:tc>
                <w:tcPr>
                  <w:tcW w:w="2250" w:type="dxa"/>
                  <w:tcBorders/>
                </w:tcPr>
                <w:p>
                  <w:pPr>
                    <w:pStyle w:val="Normal"/>
                    <w:spacing w:lineRule="atLeast" w:line="0"/>
                    <w:rPr/>
                  </w:pPr>
                  <w:r>
                    <w:rPr/>
                  </w:r>
                </w:p>
              </w:tc>
              <w:tc>
                <w:tcPr>
                  <w:tcW w:w="6934" w:type="dxa"/>
                  <w:tcBorders/>
                </w:tcPr>
                <w:p>
                  <w:pPr>
                    <w:pStyle w:val="Normal"/>
                    <w:jc w:val="center"/>
                    <w:rPr>
                      <w:color w:val="000000"/>
                      <w:sz w:val="16"/>
                      <w:szCs w:val="16"/>
                    </w:rPr>
                  </w:pPr>
                  <w:r>
                    <w:rPr>
                      <w:color w:val="000000"/>
                      <w:sz w:val="16"/>
                      <w:szCs w:val="16"/>
                    </w:rPr>
                    <w:t>__________________________________________</w:t>
                  </w:r>
                </w:p>
              </w:tc>
            </w:tr>
          </w:tbl>
          <w:p>
            <w:pPr>
              <w:pStyle w:val="Normal"/>
              <w:spacing w:lineRule="atLeast" w:line="0"/>
              <w:rPr/>
            </w:pPr>
            <w:r>
              <w:rPr/>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63" w:name="__bookmark_38"/>
            <w:bookmarkStart w:id="64" w:name="__bookmark_38"/>
            <w:bookmarkEnd w:id="64"/>
          </w:p>
          <w:p>
            <w:pPr>
              <w:pStyle w:val="Normal"/>
              <w:spacing w:lineRule="atLeast" w:line="0"/>
              <w:rPr/>
            </w:pPr>
            <w:r>
              <w:rPr/>
            </w:r>
          </w:p>
        </w:tc>
      </w:tr>
    </w:tbl>
    <w:p>
      <w:pPr>
        <w:sectPr>
          <w:headerReference w:type="default" r:id="rId20"/>
          <w:headerReference w:type="first" r:id="rId21"/>
          <w:footerReference w:type="default" r:id="rId22"/>
          <w:footerReference w:type="first" r:id="rId23"/>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65" w:name="__bookmark_42"/>
      <w:bookmarkStart w:id="66" w:name="__bookmark_42"/>
      <w:bookmarkEnd w:id="66"/>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8168"/>
        <w:gridCol w:w="1800"/>
        <w:gridCol w:w="1799"/>
        <w:gridCol w:w="1800"/>
        <w:gridCol w:w="1800"/>
      </w:tblGrid>
      <w:tr>
        <w:trPr>
          <w:tblHeader w:val="true"/>
          <w:trHeight w:val="276" w:hRule="atLeast"/>
        </w:trPr>
        <w:tc>
          <w:tcPr>
            <w:tcW w:w="16116" w:type="dxa"/>
            <w:gridSpan w:val="6"/>
            <w:tcBorders/>
          </w:tcPr>
          <w:p>
            <w:pPr>
              <w:pStyle w:val="Normal"/>
              <w:jc w:val="center"/>
              <w:rPr>
                <w:b/>
                <w:bCs/>
                <w:color w:val="000000"/>
                <w:sz w:val="24"/>
                <w:szCs w:val="24"/>
              </w:rPr>
            </w:pPr>
            <w:r>
              <w:rPr>
                <w:b/>
                <w:bCs/>
                <w:color w:val="000000"/>
                <w:sz w:val="24"/>
                <w:szCs w:val="24"/>
              </w:rPr>
              <w:t>ПЛАН РАСХОДА ПО ФУНКЦИОНАЛНИМ КЛАСИФИКАЦИЈАМА</w:t>
            </w:r>
          </w:p>
        </w:tc>
      </w:tr>
      <w:tr>
        <w:trPr>
          <w:tblHeader w:val="true"/>
          <w:trHeight w:val="230" w:hRule="atLeast"/>
        </w:trPr>
        <w:tc>
          <w:tcPr>
            <w:tcW w:w="16116" w:type="dxa"/>
            <w:gridSpan w:val="6"/>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bookmarkStart w:id="67" w:name="__bookmark_43"/>
                  <w:bookmarkEnd w:id="67"/>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749" w:type="dxa"/>
            <w:tcBorders/>
          </w:tcPr>
          <w:p>
            <w:pPr>
              <w:pStyle w:val="Normal"/>
              <w:spacing w:lineRule="atLeast" w:line="0"/>
              <w:jc w:val="center"/>
              <w:rPr/>
            </w:pPr>
            <w:r>
              <w:rPr/>
            </w:r>
          </w:p>
        </w:tc>
        <w:tc>
          <w:tcPr>
            <w:tcW w:w="8168"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c>
          <w:tcPr>
            <w:tcW w:w="1799"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Раздео</w:t>
            </w:r>
          </w:p>
        </w:tc>
        <w:tc>
          <w:tcPr>
            <w:tcW w:w="816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Назив раздела</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План</w:t>
            </w:r>
          </w:p>
        </w:tc>
        <w:tc>
          <w:tcPr>
            <w:tcW w:w="17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Средства из сопствених извора 04</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6"/>
                <w:szCs w:val="16"/>
              </w:rPr>
            </w:pPr>
            <w:r>
              <w:rPr>
                <w:b/>
                <w:bCs/>
                <w:color w:val="000000"/>
                <w:sz w:val="16"/>
                <w:szCs w:val="16"/>
              </w:rPr>
              <w:t>Средства из осталих извора</w:t>
            </w:r>
            <w:bookmarkStart w:id="68" w:name="_Toc040_Породица_и_деца"/>
            <w:bookmarkEnd w:id="6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"040 Породица и деца"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040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20.358.578,00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19.102.378,00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1.256.200,00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040 Породица и деца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20.358.578,00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19.102.378,00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1.256.200,00</w:t>
            </w:r>
            <w:bookmarkStart w:id="69" w:name="_Toc070_Социјална_помоћ_угроженом_станов"/>
            <w:bookmarkEnd w:id="69"/>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"070 Социјална помоћ угроженом становништву, некласификована на другом месту"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070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9.959.000,00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9.959.000,00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070 Социјална помоћ угроженом становништву,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0" w:name="_Toc090_Социјална_заштита_некласификован"/>
            <w:bookmarkEnd w:id="70"/>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"090 Социјална заштита некласификована на другом месту"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090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090 Социјална заштита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1" w:name="_Toc110_Извршни_и_законодавни_органи,_фи"/>
            <w:bookmarkEnd w:id="71"/>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"110 Извршни и законодавни органи, финансијски и фискални послови и спољни послови"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1</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СКУПШТИНА ОПШТИНЕ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14.289.360,00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14.289.360,00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110 Извршни и законодавни органи, финансијски и фискални послови и спољни послови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2" w:name="_Toc111_Извршни_и_законодавни_органи"/>
            <w:bookmarkEnd w:id="72"/>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"111 Извршни и законодавни органи"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2</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ПРЕДСЕДНИК ОПШТИНЕ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8.187.050,00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8.187.050,00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3</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ОПШТИНСКО ВЕЋЕ</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111 Извршни и законодавни органи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9.987.050,00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9.987.050,00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3" w:name="_Toc130_Опште_услуге"/>
            <w:bookmarkEnd w:id="73"/>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"130 Опште услуге"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129.465.720,00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129.465.720,00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130 Опште услуге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129.465.720,00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129.465.720,00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4" w:name="_Toc160_Опште_јавне_услуге_некласификова"/>
            <w:bookmarkEnd w:id="74"/>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"160 Опште јавне услуге некласификоване на другом месту"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160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32.800.000,00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32.300.000,00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160 Опште јавне услуге некласификоване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32.800.000,00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32.300.000,00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w:t>
            </w:r>
            <w:bookmarkStart w:id="75" w:name="_Toc220_Цивилна_одбрана"/>
            <w:bookmarkEnd w:id="75"/>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"220 Цивилна одбрана"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220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220 Цивилна одбрана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6" w:name="_Toc330_Судови"/>
            <w:bookmarkEnd w:id="76"/>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"330 Судови"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330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4</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ОПШТИНСКИ ПРАВОБРАНИЛАЦ</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3.006.380,00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3.006.380,00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330 Судови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7" w:name="_Toc360_Јавни_ред_и_безбедност_некласифи"/>
            <w:bookmarkEnd w:id="77"/>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"360 Јавни ред и безбедност некласификован на другом месту"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360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360 Јавни ред и безбедност некласификован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8" w:name="_Toc411_Општи_економски_и_комерцијални_п"/>
            <w:bookmarkEnd w:id="7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 Општи економски и комерцијални послови"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411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5.441.680,00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5.441.680,00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411 Општи економски и комерцијални послови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5.441.680,00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79" w:name="_Toc421_Пољопривреда"/>
            <w:bookmarkEnd w:id="79"/>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 Пољопривреда"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421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12.300.000,00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12.300.000,00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421 Пољопривреда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12.300.000,00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0" w:name="_Toc451_Друмски_саобраћај"/>
            <w:bookmarkEnd w:id="80"/>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"451 Друмски саобраћај"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451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212.100.000,00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116.300.000,00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95.800.000,00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451 Друмски саобраћај</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212.100.000,00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116.300.000,00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95.800.000,00</w:t>
            </w:r>
            <w:bookmarkStart w:id="81" w:name="_Toc510_Управљање_отпадом"/>
            <w:bookmarkEnd w:id="81"/>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"510 Управљање отпадом"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26.200.000,00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26.200.000,00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510 Управљање отпадом</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26.200.000,00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26.200.000,00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2" w:name="_Toc520_Управљање_отпадним_водама"/>
            <w:bookmarkEnd w:id="82"/>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"520 Управљање отпадним водама"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520 Управљање отпадним водама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3" w:name="_Toc530_Смањење_загадености"/>
            <w:bookmarkEnd w:id="83"/>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"530 Смањење загадености"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530 Смањење загадености</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4" w:name="_Toc550_Заштита_животне_средине_-_истраж"/>
            <w:bookmarkEnd w:id="84"/>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"550 Заштита животне средине - истраживање и развој"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550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6.553.000,00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6.553.000,00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550 Заштита животне средине - истраживање и развој</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6.553.000,00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6.553.000,00</w:t>
            </w:r>
            <w:bookmarkStart w:id="85" w:name="_Toc560_Заштита_животне_средине_некласиф"/>
            <w:bookmarkEnd w:id="85"/>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"560 Заштита животне средине некласификована на другом месту"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560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17.660.000,00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17.660.000,00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560 Заштита животне средине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17.660.000,00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6" w:name="_Toc620_Развој_заједнице"/>
            <w:bookmarkEnd w:id="86"/>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"620 Развој заједнице"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620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14.500.000,00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12.250.000,00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2.250.000,00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620 Развој заједнице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14.500.000,00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12.250.000,00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bookmarkStart w:id="87" w:name="_Toc630_Водоснабдевање"/>
            <w:bookmarkEnd w:id="87"/>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"630 Водоснабдевање"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630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630 Водоснабдевање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8" w:name="_Toc640_Улична_расвета"/>
            <w:bookmarkEnd w:id="8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"640 Улична расвета"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640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640 Улична расвета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18.500.000,00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89" w:name="_Toc721_Опште_медицинске_услуге"/>
            <w:bookmarkEnd w:id="89"/>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"721 Опште медицинске услуге"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721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721 Опште медицинске услуге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0" w:name="_Toc740_Услуге_јавног_здравства"/>
            <w:bookmarkEnd w:id="90"/>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"740 Услуге јавног здравства"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740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740 Услуге јавног здравства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1" w:name="_Toc810_Услуге_рекреације_и_спорта"/>
            <w:bookmarkEnd w:id="91"/>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"810 Услуге рекреације и спорта"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46.097.470,00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45.497.470,00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810 Услуге рекреације и спорта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46.097.470,00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45.497.470,00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2" w:name="_Toc820_Услуге_културе"/>
            <w:bookmarkEnd w:id="92"/>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"820 Услуге културе"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29.607.610,00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29.095.610,00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512.000,00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820 Услуге културе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29.607.610,00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29.095.610,00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512.000,00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3" w:name="_Toc830_Услуге_емитовања_и_штампања"/>
            <w:bookmarkEnd w:id="93"/>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"830 Услуге емитовања и штампања"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830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830 Услуге емитовања и штампања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4" w:name="_Toc840_Верске_и_остале_услуге_заједнице"/>
            <w:bookmarkEnd w:id="94"/>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"840 Верске и остале услуге заједнице"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840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840 Верске и остале услуге заједнице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5" w:name="_Toc911_Предшколско_образовање"/>
            <w:bookmarkEnd w:id="95"/>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"911 Предшколско образовање"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207.754.885,00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199.775.720,00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7.979.165,00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911 Предшколско образовање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207.754.885,00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199.775.720,00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7.979.165,00</w:t>
            </w:r>
            <w:bookmarkStart w:id="96" w:name="_Toc912_Основно_образовање"/>
            <w:bookmarkEnd w:id="96"/>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"912 Основно образовање"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85.834.000,00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85.834.000,00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912 Основно образовање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85.834.000,00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85.834.000,00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7" w:name="_Toc920_Средње_образовање"/>
            <w:bookmarkEnd w:id="97"/>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"920 Средње образовање"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19.842.000,00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19.842.000,00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920 Средње образовање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98" w:name="_Toc950_Образовање_које_није_дефинисано_"/>
            <w:bookmarkEnd w:id="98"/>
          </w:p>
        </w:tc>
      </w:tr>
      <w:tr>
        <w:trPr>
          <w:trHeight w:val="225" w:hRule="exact"/>
        </w:trPr>
        <w:tc>
          <w:tcPr>
            <w:tcW w:w="16116" w:type="dxa"/>
            <w:gridSpan w:val="6"/>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"950 Образовање које није дефинисано нивоом" \l 1 </w:instrText>
            </w:r>
            <w:r>
              <w:rPr/>
              <w:fldChar w:fldCharType="separate"/>
            </w:r>
            <w:r>
              <w:rPr/>
            </w:r>
            <w:r>
              <w:rPr/>
              <w:fldChar w:fldCharType="end"/>
            </w:r>
          </w:p>
          <w:p>
            <w:pPr>
              <w:pStyle w:val="Normal"/>
              <w:spacing w:lineRule="atLeast" w:line="0"/>
              <w:rPr/>
            </w:pPr>
            <w:r>
              <w:rPr/>
            </w:r>
          </w:p>
        </w:tc>
      </w:tr>
      <w:tr>
        <w:trPr>
          <w:trHeight w:val="184" w:hRule="atLeast"/>
        </w:trPr>
        <w:tc>
          <w:tcPr>
            <w:tcW w:w="16116" w:type="dxa"/>
            <w:gridSpan w:val="6"/>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Функц. клас. 950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5</w:t>
            </w:r>
          </w:p>
        </w:tc>
        <w:tc>
          <w:tcPr>
            <w:tcW w:w="8168"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79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17" w:type="dxa"/>
            <w:gridSpan w:val="2"/>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Укупно за функц. клас. 950 Образовање које није дефинисано нивоом</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30.600.000,00</w:t>
            </w:r>
          </w:p>
        </w:tc>
        <w:tc>
          <w:tcPr>
            <w:tcW w:w="17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30.600.000,00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99" w:name="__bookmark_44"/>
            <w:bookmarkStart w:id="100" w:name="__bookmark_44"/>
            <w:bookmarkEnd w:id="100"/>
          </w:p>
          <w:p>
            <w:pPr>
              <w:pStyle w:val="Normal"/>
              <w:spacing w:lineRule="atLeast" w:line="0"/>
              <w:rPr/>
            </w:pPr>
            <w:r>
              <w:rPr/>
            </w:r>
          </w:p>
        </w:tc>
      </w:tr>
    </w:tbl>
    <w:p>
      <w:pPr>
        <w:sectPr>
          <w:headerReference w:type="default" r:id="rId24"/>
          <w:headerReference w:type="first" r:id="rId25"/>
          <w:footerReference w:type="default" r:id="rId26"/>
          <w:footerReference w:type="first" r:id="rId27"/>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01" w:name="__bookmark_48"/>
      <w:bookmarkStart w:id="102" w:name="__bookmark_48"/>
      <w:bookmarkEnd w:id="102"/>
    </w:p>
    <w:tbl>
      <w:tblPr>
        <w:tblW w:w="11185"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1200"/>
        <w:gridCol w:w="8185"/>
        <w:gridCol w:w="1800"/>
      </w:tblGrid>
      <w:tr>
        <w:trPr>
          <w:tblHeader w:val="true"/>
          <w:trHeight w:val="276" w:hRule="atLeast"/>
        </w:trPr>
        <w:tc>
          <w:tcPr>
            <w:tcW w:w="11185" w:type="dxa"/>
            <w:gridSpan w:val="3"/>
            <w:tcBorders/>
          </w:tcPr>
          <w:p>
            <w:pPr>
              <w:pStyle w:val="Normal"/>
              <w:jc w:val="center"/>
              <w:rPr>
                <w:b/>
                <w:bCs/>
                <w:color w:val="000000"/>
                <w:sz w:val="24"/>
                <w:szCs w:val="24"/>
              </w:rPr>
            </w:pPr>
            <w:r>
              <w:rPr>
                <w:b/>
                <w:bCs/>
                <w:color w:val="000000"/>
                <w:sz w:val="24"/>
                <w:szCs w:val="24"/>
              </w:rPr>
              <w:t>ПЛАН РАСХОДА ПО ПРОЈЕКТИМА</w:t>
            </w:r>
          </w:p>
        </w:tc>
      </w:tr>
      <w:tr>
        <w:trPr>
          <w:tblHeader w:val="true"/>
          <w:trHeight w:val="230" w:hRule="atLeast"/>
        </w:trPr>
        <w:tc>
          <w:tcPr>
            <w:tcW w:w="11185" w:type="dxa"/>
            <w:gridSpan w:val="3"/>
            <w:tcBorders/>
          </w:tcPr>
          <w:tbl>
            <w:tblPr>
              <w:tblW w:w="1118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1200" w:type="dxa"/>
            <w:tcBorders/>
          </w:tcPr>
          <w:p>
            <w:pPr>
              <w:pStyle w:val="Normal"/>
              <w:spacing w:lineRule="atLeast" w:line="0"/>
              <w:jc w:val="center"/>
              <w:rPr/>
            </w:pPr>
            <w:r>
              <w:rPr/>
            </w:r>
          </w:p>
        </w:tc>
        <w:tc>
          <w:tcPr>
            <w:tcW w:w="8185" w:type="dxa"/>
            <w:tcBorders/>
          </w:tcPr>
          <w:p>
            <w:pPr>
              <w:pStyle w:val="Normal"/>
              <w:spacing w:lineRule="atLeast" w:line="0"/>
              <w:jc w:val="center"/>
              <w:rPr/>
            </w:pPr>
            <w:r>
              <w:rPr/>
            </w:r>
          </w:p>
        </w:tc>
        <w:tc>
          <w:tcPr>
            <w:tcW w:w="1800" w:type="dxa"/>
            <w:tcBorders/>
          </w:tcPr>
          <w:p>
            <w:pPr>
              <w:pStyle w:val="Normal"/>
              <w:spacing w:lineRule="atLeast" w:line="0"/>
              <w:jc w:val="center"/>
              <w:rPr/>
            </w:pPr>
            <w:r>
              <w:rPr/>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24"/>
                <w:szCs w:val="24"/>
              </w:rPr>
            </w:pPr>
            <w:r>
              <w:rPr>
                <w:b/>
                <w:bCs/>
                <w:color w:val="000000"/>
                <w:sz w:val="24"/>
                <w:szCs w:val="24"/>
              </w:rPr>
              <w:t>Назив пројекта</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24"/>
                <w:szCs w:val="24"/>
              </w:rPr>
            </w:pPr>
            <w:r>
              <w:rPr>
                <w:b/>
                <w:bCs/>
                <w:color w:val="000000"/>
                <w:sz w:val="24"/>
                <w:szCs w:val="24"/>
              </w:rPr>
              <w:t>Износ у динарима</w:t>
            </w:r>
            <w:bookmarkStart w:id="103" w:name="_Toc0401_ЗАШТИТА_ЖИВОТНЕ_СРЕДИНЕ"/>
            <w:bookmarkEnd w:id="103"/>
          </w:p>
        </w:tc>
      </w:tr>
      <w:tr>
        <w:trPr>
          <w:trHeight w:val="276"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24"/>
                <w:szCs w:val="24"/>
              </w:rPr>
            </w:pPr>
            <w:r>
              <w:fldChar w:fldCharType="begin"/>
            </w:r>
            <w:r>
              <w:rPr>
                <w:sz w:val="24"/>
                <w:szCs w:val="24"/>
              </w:rPr>
              <w:instrText xml:space="preserve"> TC "0401 ЗАШТИТА ЖИВОТНЕ СРЕДИНЕ"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Програм   0401   ЗАШТИТА ЖИВОТНЕ СРЕДИНЕ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24"/>
                <w:szCs w:val="24"/>
              </w:rPr>
            </w:pPr>
            <w:r>
              <w:rPr>
                <w:color w:val="000000"/>
                <w:sz w:val="24"/>
                <w:szCs w:val="24"/>
              </w:rPr>
              <w:t>0401-5010</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24"/>
                <w:szCs w:val="24"/>
              </w:rPr>
            </w:pPr>
            <w:r>
              <w:rPr>
                <w:color w:val="000000"/>
                <w:sz w:val="24"/>
                <w:szCs w:val="24"/>
              </w:rPr>
              <w:t>Побољшање отпорности на климу у Ариљу: Партипативни приступ за одрживу адаптацију</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24"/>
                <w:szCs w:val="24"/>
              </w:rPr>
            </w:pPr>
            <w:r>
              <w:rPr>
                <w:color w:val="000000"/>
                <w:sz w:val="24"/>
                <w:szCs w:val="24"/>
              </w:rPr>
              <w:t>6.553.000,00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24"/>
                <w:szCs w:val="24"/>
              </w:rPr>
            </w:pPr>
            <w:r>
              <w:rPr>
                <w:b/>
                <w:bCs/>
                <w:color w:val="000000"/>
                <w:sz w:val="24"/>
                <w:szCs w:val="24"/>
              </w:rPr>
              <w:t>Укупно за програм:   0401   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24"/>
                <w:szCs w:val="24"/>
              </w:rPr>
            </w:pPr>
            <w:r>
              <w:rPr>
                <w:b/>
                <w:bCs/>
                <w:color w:val="000000"/>
                <w:sz w:val="24"/>
                <w:szCs w:val="24"/>
              </w:rPr>
              <w:t>6.553.000,00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24"/>
                <w:szCs w:val="24"/>
              </w:rPr>
            </w:pPr>
            <w:r>
              <w:rPr>
                <w:sz w:val="24"/>
                <w:szCs w:val="24"/>
              </w:rPr>
            </w:r>
            <w:bookmarkStart w:id="104" w:name="_Toc0501_ЕНЕРГЕТСКА_ЕФИКАСНОСТ_И_ОБНОВЉИ"/>
            <w:bookmarkStart w:id="105" w:name="_Toc0501_ЕНЕРГЕТСКА_ЕФИКАСНОСТ_И_ОБНОВЉИ"/>
            <w:bookmarkEnd w:id="105"/>
          </w:p>
        </w:tc>
      </w:tr>
      <w:tr>
        <w:trPr>
          <w:trHeight w:val="276"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24"/>
                <w:szCs w:val="24"/>
              </w:rPr>
            </w:pPr>
            <w:r>
              <w:fldChar w:fldCharType="begin"/>
            </w:r>
            <w:r>
              <w:rPr>
                <w:sz w:val="24"/>
                <w:szCs w:val="24"/>
              </w:rPr>
              <w:instrText xml:space="preserve"> TC "0501 ЕНЕРГЕТСКА ЕФИКАСНОСТ И ОБНОВЉИВИ ИЗВОРИ ЕНЕРГИЈЕ"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Програм   0501   ЕНЕРГЕТСКА ЕФИКАСНОСТ И ОБНОВЉИВИ ИЗВОРИ ЕНЕРГИЈЕ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24"/>
                <w:szCs w:val="24"/>
              </w:rPr>
            </w:pPr>
            <w:r>
              <w:rPr>
                <w:color w:val="000000"/>
                <w:sz w:val="24"/>
                <w:szCs w:val="24"/>
              </w:rPr>
              <w:t>0501-7009</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24"/>
                <w:szCs w:val="24"/>
              </w:rPr>
            </w:pPr>
            <w:r>
              <w:rPr>
                <w:color w:val="000000"/>
                <w:sz w:val="24"/>
                <w:szCs w:val="24"/>
              </w:rPr>
              <w:t>Енергетска санација стамбених зграда и породичних кућа</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24"/>
                <w:szCs w:val="24"/>
              </w:rPr>
            </w:pPr>
            <w:r>
              <w:rPr>
                <w:color w:val="000000"/>
                <w:sz w:val="24"/>
                <w:szCs w:val="24"/>
              </w:rPr>
              <w:t>4.500.000,00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24"/>
                <w:szCs w:val="24"/>
              </w:rPr>
            </w:pPr>
            <w:r>
              <w:rPr>
                <w:b/>
                <w:bCs/>
                <w:color w:val="000000"/>
                <w:sz w:val="24"/>
                <w:szCs w:val="24"/>
              </w:rPr>
              <w:t>Укупно за програм:   0501   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24"/>
                <w:szCs w:val="24"/>
              </w:rPr>
            </w:pPr>
            <w:r>
              <w:rPr>
                <w:b/>
                <w:bCs/>
                <w:color w:val="000000"/>
                <w:sz w:val="24"/>
                <w:szCs w:val="24"/>
              </w:rPr>
              <w:t>4.500.000,00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24"/>
                <w:szCs w:val="24"/>
              </w:rPr>
            </w:pPr>
            <w:r>
              <w:rPr>
                <w:sz w:val="24"/>
                <w:szCs w:val="24"/>
              </w:rPr>
            </w:r>
            <w:bookmarkStart w:id="106" w:name="_Toc0602_ОПШТЕ_УСЛУГЕ_ЛОКАЛНЕ_САМОУПРАВЕ"/>
            <w:bookmarkStart w:id="107" w:name="_Toc0602_ОПШТЕ_УСЛУГЕ_ЛОКАЛНЕ_САМОУПРАВЕ"/>
            <w:bookmarkEnd w:id="107"/>
          </w:p>
        </w:tc>
      </w:tr>
      <w:tr>
        <w:trPr>
          <w:trHeight w:val="276"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24"/>
                <w:szCs w:val="24"/>
              </w:rPr>
            </w:pPr>
            <w:r>
              <w:fldChar w:fldCharType="begin"/>
            </w:r>
            <w:r>
              <w:rPr>
                <w:sz w:val="24"/>
                <w:szCs w:val="24"/>
              </w:rPr>
              <w:instrText xml:space="preserve"> TC "0602 ОПШТЕ УСЛУГЕ ЛОКАЛНЕ САМОУПРАВЕ"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Програм   0602   ОПШТЕ УСЛУГЕ ЛОКАЛНЕ САМОУПРАВЕ</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24"/>
                <w:szCs w:val="24"/>
              </w:rPr>
            </w:pPr>
            <w:r>
              <w:rPr>
                <w:color w:val="000000"/>
                <w:sz w:val="24"/>
                <w:szCs w:val="24"/>
              </w:rPr>
              <w:t>0602-4006</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24"/>
                <w:szCs w:val="24"/>
              </w:rPr>
            </w:pPr>
            <w:r>
              <w:rPr>
                <w:color w:val="000000"/>
                <w:sz w:val="24"/>
                <w:szCs w:val="24"/>
              </w:rPr>
              <w:t>ОДРЖИВО ФУНКЦИОНИСАЊЕ НВО</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24"/>
                <w:szCs w:val="24"/>
              </w:rPr>
            </w:pPr>
            <w:r>
              <w:rPr>
                <w:color w:val="000000"/>
                <w:sz w:val="24"/>
                <w:szCs w:val="24"/>
              </w:rPr>
              <w:t>7.000.000,00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24"/>
                <w:szCs w:val="24"/>
              </w:rPr>
            </w:pPr>
            <w:r>
              <w:rPr>
                <w:b/>
                <w:bCs/>
                <w:color w:val="000000"/>
                <w:sz w:val="24"/>
                <w:szCs w:val="24"/>
              </w:rPr>
              <w:t>Укупно за програм:   0602   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24"/>
                <w:szCs w:val="24"/>
              </w:rPr>
            </w:pPr>
            <w:r>
              <w:rPr>
                <w:b/>
                <w:bCs/>
                <w:color w:val="000000"/>
                <w:sz w:val="24"/>
                <w:szCs w:val="24"/>
              </w:rPr>
              <w:t>7.000.000,00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24"/>
                <w:szCs w:val="24"/>
              </w:rPr>
            </w:pPr>
            <w:r>
              <w:rPr>
                <w:sz w:val="24"/>
                <w:szCs w:val="24"/>
              </w:rPr>
            </w:r>
            <w:bookmarkStart w:id="108" w:name="_Toc0701_ОРГАНИЗАЦИЈА_САОБРАЋАЈА_И_САОБР"/>
            <w:bookmarkStart w:id="109" w:name="_Toc0701_ОРГАНИЗАЦИЈА_САОБРАЋАЈА_И_САОБР"/>
            <w:bookmarkEnd w:id="109"/>
          </w:p>
        </w:tc>
      </w:tr>
      <w:tr>
        <w:trPr>
          <w:trHeight w:val="276"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24"/>
                <w:szCs w:val="24"/>
              </w:rPr>
            </w:pPr>
            <w:r>
              <w:fldChar w:fldCharType="begin"/>
            </w:r>
            <w:r>
              <w:rPr>
                <w:sz w:val="24"/>
                <w:szCs w:val="24"/>
              </w:rPr>
              <w:instrText xml:space="preserve"> TC "0701 ОРГАНИЗАЦИЈА САОБРАЋАЈА И САОБРАЋАЈНА ИНФРАСТРУКТУРА"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Програм   0701   ОРГАНИЗАЦИЈА САОБРАЋАЈА И САОБРАЋАЈНА ИНФРАСТРУКТУРА</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24"/>
                <w:szCs w:val="24"/>
              </w:rPr>
            </w:pPr>
            <w:r>
              <w:rPr>
                <w:color w:val="000000"/>
                <w:sz w:val="24"/>
                <w:szCs w:val="24"/>
              </w:rPr>
              <w:t>0701-5003</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24"/>
                <w:szCs w:val="24"/>
              </w:rPr>
            </w:pPr>
            <w:r>
              <w:rPr>
                <w:color w:val="000000"/>
                <w:sz w:val="24"/>
                <w:szCs w:val="24"/>
              </w:rPr>
              <w:t>РЕКОНСТРУКЦИЈА УЛИЦЕ СВЕТОГ АХИЛИЈА</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24"/>
                <w:szCs w:val="24"/>
              </w:rPr>
            </w:pPr>
            <w:r>
              <w:rPr>
                <w:color w:val="000000"/>
                <w:sz w:val="24"/>
                <w:szCs w:val="24"/>
              </w:rPr>
              <w:t>141.000.000,00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24"/>
                <w:szCs w:val="24"/>
              </w:rPr>
            </w:pPr>
            <w:r>
              <w:rPr>
                <w:b/>
                <w:bCs/>
                <w:color w:val="000000"/>
                <w:sz w:val="24"/>
                <w:szCs w:val="24"/>
              </w:rPr>
              <w:t>Укупно за програм:   0701   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24"/>
                <w:szCs w:val="24"/>
              </w:rPr>
            </w:pPr>
            <w:r>
              <w:rPr>
                <w:b/>
                <w:bCs/>
                <w:color w:val="000000"/>
                <w:sz w:val="24"/>
                <w:szCs w:val="24"/>
              </w:rPr>
              <w:t>141.000.000,00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24"/>
                <w:szCs w:val="24"/>
              </w:rPr>
            </w:pPr>
            <w:r>
              <w:rPr>
                <w:sz w:val="24"/>
                <w:szCs w:val="24"/>
              </w:rPr>
            </w:r>
            <w:bookmarkStart w:id="110" w:name="_Toc0902_СОЦИЈАЛНА_И_ДЕЧЈА_ЗАШТИТА"/>
            <w:bookmarkStart w:id="111" w:name="_Toc0902_СОЦИЈАЛНА_И_ДЕЧЈА_ЗАШТИТА"/>
            <w:bookmarkEnd w:id="111"/>
          </w:p>
        </w:tc>
      </w:tr>
      <w:tr>
        <w:trPr>
          <w:trHeight w:val="276" w:hRule="atLeast"/>
        </w:trPr>
        <w:tc>
          <w:tcPr>
            <w:tcW w:w="11185" w:type="dxa"/>
            <w:gridSpan w:val="3"/>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vanish/>
                <w:sz w:val="24"/>
                <w:szCs w:val="24"/>
              </w:rPr>
            </w:pPr>
            <w:r>
              <w:fldChar w:fldCharType="begin"/>
            </w:r>
            <w:r>
              <w:rPr>
                <w:sz w:val="24"/>
                <w:szCs w:val="24"/>
              </w:rPr>
              <w:instrText xml:space="preserve"> TC "0902 СОЦИЈАЛНА И ДЕЧЈА ЗАШТИТА" \l 1 </w:instrText>
            </w:r>
            <w:r>
              <w:rPr>
                <w:sz w:val="24"/>
                <w:szCs w:val="24"/>
              </w:rPr>
              <w:fldChar w:fldCharType="separate"/>
            </w:r>
            <w:r>
              <w:rPr>
                <w:sz w:val="24"/>
                <w:szCs w:val="24"/>
              </w:rPr>
            </w:r>
            <w:r>
              <w:rPr>
                <w:sz w:val="24"/>
                <w:szCs w:val="24"/>
              </w:rPr>
              <w:fldChar w:fldCharType="end"/>
            </w:r>
          </w:p>
          <w:p>
            <w:pPr>
              <w:pStyle w:val="Normal"/>
              <w:rPr>
                <w:b/>
                <w:bCs/>
                <w:color w:val="000000"/>
                <w:sz w:val="24"/>
                <w:szCs w:val="24"/>
              </w:rPr>
            </w:pPr>
            <w:r>
              <w:rPr>
                <w:b/>
                <w:bCs/>
                <w:color w:val="000000"/>
                <w:sz w:val="24"/>
                <w:szCs w:val="24"/>
              </w:rPr>
              <w:t>Програм   0902   СОЦИЈАЛНА И ДЕЧЈА ЗАШТИТА</w:t>
            </w:r>
          </w:p>
        </w:tc>
      </w:tr>
      <w:tr>
        <w:trPr/>
        <w:tc>
          <w:tcPr>
            <w:tcW w:w="1200" w:type="dxa"/>
            <w:tcBorders>
              <w:top w:val="single" w:sz="6" w:space="0" w:color="000000"/>
              <w:left w:val="single" w:sz="6" w:space="0" w:color="000000"/>
              <w:bottom w:val="single" w:sz="6" w:space="0" w:color="000000"/>
            </w:tcBorders>
            <w:vAlign w:val="center"/>
          </w:tcPr>
          <w:p>
            <w:pPr>
              <w:pStyle w:val="Normal"/>
              <w:jc w:val="center"/>
              <w:rPr>
                <w:color w:val="000000"/>
                <w:sz w:val="24"/>
                <w:szCs w:val="24"/>
              </w:rPr>
            </w:pPr>
            <w:r>
              <w:rPr>
                <w:color w:val="000000"/>
                <w:sz w:val="24"/>
                <w:szCs w:val="24"/>
              </w:rPr>
              <w:t>0902-7002</w:t>
            </w:r>
          </w:p>
        </w:tc>
        <w:tc>
          <w:tcPr>
            <w:tcW w:w="8185" w:type="dxa"/>
            <w:tcBorders>
              <w:top w:val="single" w:sz="6" w:space="0" w:color="000000"/>
              <w:bottom w:val="single" w:sz="6" w:space="0" w:color="000000"/>
              <w:right w:val="single" w:sz="6" w:space="0" w:color="000000"/>
            </w:tcBorders>
            <w:vAlign w:val="center"/>
          </w:tcPr>
          <w:p>
            <w:pPr>
              <w:pStyle w:val="Normal"/>
              <w:rPr>
                <w:color w:val="000000"/>
                <w:sz w:val="24"/>
                <w:szCs w:val="24"/>
              </w:rPr>
            </w:pPr>
            <w:r>
              <w:rPr>
                <w:color w:val="000000"/>
                <w:sz w:val="24"/>
                <w:szCs w:val="24"/>
              </w:rPr>
              <w:t>УВОЂЕЊЕ ИНОВАТИВНЕ УСЛУГЕ ПОРОДИЧНИ САВЕТНИК</w:t>
            </w:r>
          </w:p>
        </w:tc>
        <w:tc>
          <w:tcPr>
            <w:tcW w:w="18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24"/>
                <w:szCs w:val="24"/>
              </w:rPr>
            </w:pPr>
            <w:r>
              <w:rPr>
                <w:color w:val="000000"/>
                <w:sz w:val="24"/>
                <w:szCs w:val="24"/>
              </w:rPr>
              <w:t>1.256.200,00</w:t>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rPr>
                <w:b/>
                <w:bCs/>
                <w:color w:val="000000"/>
                <w:sz w:val="24"/>
                <w:szCs w:val="24"/>
              </w:rPr>
            </w:pPr>
            <w:r>
              <w:rPr>
                <w:b/>
                <w:bCs/>
                <w:color w:val="000000"/>
                <w:sz w:val="24"/>
                <w:szCs w:val="24"/>
              </w:rPr>
              <w:t>Укупно за програм:   0902   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shd w:color="auto" w:fill="F5F5F5" w:val="clear"/>
            <w:vAlign w:val="center"/>
          </w:tcPr>
          <w:p>
            <w:pPr>
              <w:pStyle w:val="Normal"/>
              <w:jc w:val="right"/>
              <w:rPr>
                <w:b/>
                <w:bCs/>
                <w:color w:val="000000"/>
                <w:sz w:val="24"/>
                <w:szCs w:val="24"/>
              </w:rPr>
            </w:pPr>
            <w:r>
              <w:rPr>
                <w:b/>
                <w:bCs/>
                <w:color w:val="000000"/>
                <w:sz w:val="24"/>
                <w:szCs w:val="24"/>
              </w:rPr>
              <w:t>1.256.200,00</w:t>
            </w:r>
          </w:p>
        </w:tc>
      </w:tr>
      <w:tr>
        <w:trPr>
          <w:trHeight w:val="225" w:hRule="exact"/>
        </w:trPr>
        <w:tc>
          <w:tcPr>
            <w:tcW w:w="11185"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sz w:val="24"/>
                <w:szCs w:val="24"/>
              </w:rPr>
            </w:pPr>
            <w:r>
              <w:rPr>
                <w:sz w:val="24"/>
                <w:szCs w:val="24"/>
              </w:rPr>
            </w:r>
          </w:p>
        </w:tc>
      </w:tr>
      <w:tr>
        <w:trPr/>
        <w:tc>
          <w:tcPr>
            <w:tcW w:w="9385" w:type="dxa"/>
            <w:gridSpan w:val="2"/>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24"/>
                <w:szCs w:val="24"/>
              </w:rPr>
            </w:pPr>
            <w:r>
              <w:rPr>
                <w:b/>
                <w:bCs/>
                <w:color w:val="000000"/>
                <w:sz w:val="24"/>
                <w:szCs w:val="24"/>
              </w:rPr>
              <w:t>Укупно за БК   0   БУЏЕТ ОПШТИНЕ АРИЉЕ</w:t>
            </w:r>
          </w:p>
        </w:tc>
        <w:tc>
          <w:tcPr>
            <w:tcW w:w="18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24"/>
                <w:szCs w:val="24"/>
              </w:rPr>
            </w:pPr>
            <w:r>
              <w:rPr>
                <w:b/>
                <w:bCs/>
                <w:color w:val="000000"/>
                <w:sz w:val="24"/>
                <w:szCs w:val="24"/>
              </w:rPr>
              <w:t>160.309.200,00</w:t>
            </w:r>
          </w:p>
        </w:tc>
      </w:tr>
    </w:tbl>
    <w:p>
      <w:pPr>
        <w:pStyle w:val="Normal"/>
        <w:rPr>
          <w:vanish/>
          <w:sz w:val="24"/>
          <w:szCs w:val="24"/>
        </w:rPr>
      </w:pPr>
      <w:r>
        <w:rPr>
          <w:vanish/>
          <w:sz w:val="24"/>
          <w:szCs w:val="24"/>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185"/>
      </w:tblGrid>
      <w:tr>
        <w:trPr/>
        <w:tc>
          <w:tcPr>
            <w:tcW w:w="11185" w:type="dxa"/>
            <w:tcBorders/>
          </w:tcPr>
          <w:p>
            <w:pPr>
              <w:pStyle w:val="Normal"/>
              <w:rPr>
                <w:sz w:val="24"/>
                <w:szCs w:val="24"/>
              </w:rPr>
            </w:pPr>
            <w:r>
              <w:rPr>
                <w:sz w:val="24"/>
                <w:szCs w:val="24"/>
              </w:rPr>
            </w:r>
            <w:bookmarkStart w:id="112" w:name="__bookmark_49"/>
            <w:bookmarkStart w:id="113" w:name="__bookmark_49"/>
            <w:bookmarkEnd w:id="113"/>
          </w:p>
          <w:p>
            <w:pPr>
              <w:pStyle w:val="Normal"/>
              <w:spacing w:lineRule="atLeast" w:line="0"/>
              <w:rPr>
                <w:sz w:val="24"/>
                <w:szCs w:val="24"/>
              </w:rPr>
            </w:pPr>
            <w:r>
              <w:rPr>
                <w:sz w:val="24"/>
                <w:szCs w:val="24"/>
              </w:rPr>
            </w:r>
          </w:p>
        </w:tc>
      </w:tr>
    </w:tbl>
    <w:p>
      <w:pPr>
        <w:sectPr>
          <w:headerReference w:type="default" r:id="rId28"/>
          <w:headerReference w:type="first" r:id="rId29"/>
          <w:footerReference w:type="default" r:id="rId30"/>
          <w:footerReference w:type="first" r:id="rId31"/>
          <w:type w:val="nextPage"/>
          <w:pgSz w:w="11906" w:h="16838"/>
          <w:pgMar w:left="360" w:right="360" w:gutter="0" w:header="360" w:top="417" w:footer="360" w:bottom="417"/>
          <w:pgNumType w:fmt="decimal"/>
          <w:formProt w:val="false"/>
          <w:textDirection w:val="lrTb"/>
          <w:docGrid w:type="default" w:linePitch="100" w:charSpace="8192"/>
        </w:sectPr>
      </w:pPr>
    </w:p>
    <w:p>
      <w:pPr>
        <w:pStyle w:val="Normal"/>
        <w:jc w:val="center"/>
        <w:rPr>
          <w:b/>
          <w:bCs/>
          <w:color w:val="000000"/>
          <w:sz w:val="24"/>
          <w:szCs w:val="24"/>
        </w:rPr>
      </w:pPr>
      <w:r>
        <w:rPr>
          <w:b/>
          <w:bCs/>
          <w:color w:val="000000"/>
          <w:sz w:val="24"/>
          <w:szCs w:val="24"/>
        </w:rPr>
        <w:t>III РЕКАПИТУЛАЦИЈА</w:t>
      </w:r>
    </w:p>
    <w:p>
      <w:pPr>
        <w:pStyle w:val="Normal"/>
        <w:jc w:val="center"/>
        <w:rPr>
          <w:b/>
          <w:color w:val="000000"/>
        </w:rPr>
      </w:pPr>
      <w:r>
        <w:rPr>
          <w:b/>
          <w:color w:val="000000"/>
        </w:rPr>
        <w:t>Члан 8.</w:t>
      </w:r>
    </w:p>
    <w:p>
      <w:pPr>
        <w:pStyle w:val="Normal"/>
        <w:rPr>
          <w:color w:val="000000"/>
        </w:rPr>
      </w:pPr>
      <w:r>
        <w:rPr>
          <w:color w:val="000000"/>
        </w:rPr>
      </w:r>
    </w:p>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color w:val="000000"/>
              </w:rPr>
            </w:pPr>
            <w:bookmarkStart w:id="114" w:name="__bookmark_52"/>
            <w:bookmarkEnd w:id="114"/>
            <w:r>
              <w:rPr>
                <w:color w:val="000000"/>
              </w:rPr>
              <w:t>Средства буџета у износу од 875.756.368,00 динара, средства из сопствених извора и износу од 1.112.000,00 динара и средства из осталих извора у износу од 114.338.365,00 динара, утврђена су и распоређена по програмској класификацији, и то:</w:t>
            </w:r>
          </w:p>
          <w:p>
            <w:pPr>
              <w:pStyle w:val="Normal"/>
              <w:spacing w:lineRule="atLeast" w:line="0"/>
              <w:rPr/>
            </w:pPr>
            <w:r>
              <w:rPr/>
            </w:r>
          </w:p>
        </w:tc>
      </w:tr>
    </w:tbl>
    <w:p>
      <w:pPr>
        <w:pStyle w:val="Normal"/>
        <w:rPr>
          <w:color w:val="000000"/>
        </w:rPr>
      </w:pPr>
      <w:r>
        <w:rPr>
          <w:color w:val="000000"/>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599"/>
        <w:gridCol w:w="1351"/>
        <w:gridCol w:w="1349"/>
        <w:gridCol w:w="1500"/>
        <w:gridCol w:w="900"/>
        <w:gridCol w:w="825"/>
        <w:gridCol w:w="825"/>
        <w:gridCol w:w="824"/>
        <w:gridCol w:w="825"/>
        <w:gridCol w:w="825"/>
        <w:gridCol w:w="899"/>
        <w:gridCol w:w="900"/>
        <w:gridCol w:w="899"/>
        <w:gridCol w:w="898"/>
        <w:gridCol w:w="899"/>
        <w:gridCol w:w="900"/>
      </w:tblGrid>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bookmarkStart w:id="115" w:name="__bookmark_53"/>
            <w:bookmarkEnd w:id="115"/>
            <w:r>
              <w:rPr>
                <w:b/>
                <w:bCs/>
                <w:color w:val="000000"/>
                <w:sz w:val="12"/>
                <w:szCs w:val="12"/>
              </w:rPr>
              <w:t>Програм / ПА / пројекат</w:t>
            </w:r>
          </w:p>
        </w:tc>
        <w:tc>
          <w:tcPr>
            <w:tcW w:w="5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Шифра</w:t>
            </w:r>
          </w:p>
        </w:tc>
        <w:tc>
          <w:tcPr>
            <w:tcW w:w="135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Основ</w:t>
            </w:r>
          </w:p>
        </w:tc>
        <w:tc>
          <w:tcPr>
            <w:tcW w:w="134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Опис</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Циљ</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Индикатор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Вредност у 2025.</w:t>
                  </w:r>
                </w:p>
                <w:p>
                  <w:pPr>
                    <w:pStyle w:val="Normal"/>
                    <w:spacing w:lineRule="atLeast" w:line="0"/>
                    <w:rPr/>
                  </w:pPr>
                  <w:r>
                    <w:rPr/>
                  </w:r>
                </w:p>
              </w:tc>
            </w:tr>
          </w:tbl>
          <w:p>
            <w:pPr>
              <w:pStyle w:val="Normal"/>
              <w:spacing w:lineRule="atLeast" w:line="0"/>
              <w:rPr/>
            </w:pPr>
            <w:r>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Очекивана вредност у 2026.</w:t>
                  </w:r>
                </w:p>
                <w:p>
                  <w:pPr>
                    <w:pStyle w:val="Normal"/>
                    <w:spacing w:lineRule="atLeast" w:line="0"/>
                    <w:rPr/>
                  </w:pPr>
                  <w:r>
                    <w:rPr/>
                  </w:r>
                </w:p>
              </w:tc>
            </w:tr>
          </w:tbl>
          <w:p>
            <w:pPr>
              <w:pStyle w:val="Normal"/>
              <w:spacing w:lineRule="atLeast" w:line="0"/>
              <w:rPr/>
            </w:pPr>
            <w:r>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Циљна вредност у 2027.</w:t>
                  </w:r>
                </w:p>
                <w:p>
                  <w:pPr>
                    <w:pStyle w:val="Normal"/>
                    <w:spacing w:lineRule="atLeast" w:line="0"/>
                    <w:rPr/>
                  </w:pPr>
                  <w:r>
                    <w:rPr/>
                  </w:r>
                </w:p>
              </w:tc>
            </w:tr>
          </w:tbl>
          <w:p>
            <w:pPr>
              <w:pStyle w:val="Normal"/>
              <w:spacing w:lineRule="atLeast" w:line="0"/>
              <w:rPr/>
            </w:pPr>
            <w:r>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Циљна вредност у 2028.</w:t>
                  </w:r>
                </w:p>
                <w:p>
                  <w:pPr>
                    <w:pStyle w:val="Normal"/>
                    <w:spacing w:lineRule="atLeast" w:line="0"/>
                    <w:rPr/>
                  </w:pPr>
                  <w:r>
                    <w:rPr/>
                  </w:r>
                </w:p>
              </w:tc>
            </w:tr>
          </w:tbl>
          <w:p>
            <w:pPr>
              <w:pStyle w:val="Normal"/>
              <w:spacing w:lineRule="atLeast" w:line="0"/>
              <w:rPr/>
            </w:pPr>
            <w:r>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vanish/>
              </w:rPr>
            </w:pPr>
            <w:r>
              <w:rPr>
                <w:vanish/>
              </w:rPr>
            </w:r>
          </w:p>
          <w:tbl>
            <w:tblPr>
              <w:tblW w:w="825"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825"/>
            </w:tblGrid>
            <w:tr>
              <w:trPr/>
              <w:tc>
                <w:tcPr>
                  <w:tcW w:w="825" w:type="dxa"/>
                  <w:tcBorders/>
                </w:tcPr>
                <w:p>
                  <w:pPr>
                    <w:pStyle w:val="Normal"/>
                    <w:jc w:val="center"/>
                    <w:rPr>
                      <w:b/>
                      <w:bCs/>
                      <w:color w:val="000000"/>
                      <w:sz w:val="12"/>
                      <w:szCs w:val="12"/>
                    </w:rPr>
                  </w:pPr>
                  <w:r>
                    <w:rPr>
                      <w:b/>
                      <w:bCs/>
                      <w:color w:val="000000"/>
                      <w:sz w:val="12"/>
                      <w:szCs w:val="12"/>
                    </w:rPr>
                    <w:t>Циљна вредност у 2029.</w:t>
                  </w:r>
                </w:p>
                <w:p>
                  <w:pPr>
                    <w:pStyle w:val="Normal"/>
                    <w:spacing w:lineRule="atLeast" w:line="0"/>
                    <w:rPr/>
                  </w:pPr>
                  <w:r>
                    <w:rPr/>
                  </w:r>
                </w:p>
              </w:tc>
            </w:tr>
          </w:tbl>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Средства из буџета</w:t>
            </w:r>
          </w:p>
          <w:p>
            <w:pPr>
              <w:pStyle w:val="Normal"/>
              <w:jc w:val="center"/>
              <w:rPr>
                <w:b/>
                <w:bCs/>
                <w:color w:val="000000"/>
                <w:sz w:val="12"/>
                <w:szCs w:val="12"/>
              </w:rPr>
            </w:pPr>
            <w:r>
              <w:rPr>
                <w:b/>
                <w:bCs/>
                <w:color w:val="000000"/>
                <w:sz w:val="12"/>
                <w:szCs w:val="12"/>
              </w:rPr>
              <w:t>01</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Средства из сопствених извора 04</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Средства из осталих извора</w:t>
            </w:r>
          </w:p>
        </w:tc>
        <w:tc>
          <w:tcPr>
            <w:tcW w:w="89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Укупно</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Извор верификације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Одговорно лице</w:t>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w:t>
            </w:r>
          </w:p>
        </w:tc>
        <w:tc>
          <w:tcPr>
            <w:tcW w:w="5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135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w:t>
            </w:r>
          </w:p>
        </w:tc>
        <w:tc>
          <w:tcPr>
            <w:tcW w:w="134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8</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w:t>
            </w:r>
          </w:p>
        </w:tc>
        <w:tc>
          <w:tcPr>
            <w:tcW w:w="89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17</w:t>
            </w:r>
            <w:bookmarkStart w:id="116" w:name="_Toc1_-_СТАНОВАЊЕ,_УРБАНИЗАМ_И_ПРОСТОРНО"/>
            <w:bookmarkEnd w:id="116"/>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"1 - СТАНОВАЊЕ, УРБАНИЗАМ И ПРОСТОРНО ПЛАНИРАЊЕ" \l 1 </w:instrText>
            </w:r>
            <w:r>
              <w:rPr/>
              <w:fldChar w:fldCharType="separate"/>
            </w:r>
            <w:r>
              <w:rPr/>
            </w:r>
            <w:r>
              <w:rPr/>
              <w:fldChar w:fldCharType="end"/>
            </w:r>
          </w:p>
          <w:p>
            <w:pPr>
              <w:pStyle w:val="Normal"/>
              <w:rPr>
                <w:b/>
                <w:bCs/>
                <w:color w:val="000000"/>
                <w:sz w:val="12"/>
                <w:szCs w:val="12"/>
              </w:rPr>
            </w:pPr>
            <w:r>
              <w:rPr>
                <w:b/>
                <w:bCs/>
                <w:color w:val="000000"/>
                <w:sz w:val="12"/>
                <w:szCs w:val="12"/>
              </w:rPr>
              <w:t>1 - СТАНОВАЊЕ, УРБАНИЗАМ И ПРОСТОРНО ПЛАНИРАЊЕ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грађењу и Закон о експропријацији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Израда ПДР-а и измена просторног плана, прибављање јавног земљишта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Просторни развој у складу са плановима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покривености територије урбанистичком планском документацијом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95.00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10.000.000,00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СКУПСТИНСКА ОДЛУКА О УСВАЈАЊУ ПЛАНА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Ружица Николић Василић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Просторно и урбанистичко планирање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грађењу</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Коричење планова и израда планова детаљне регулације и измена просторног плана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покривености територије планском и урбанистичком документацијом</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усвојених планова генералне регулације у односу на број предвиђених планова вишег реда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ИЗВЕСТАЈ О РЕАЛИЗАЦИЈИ ПОЈЕКТА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Ружица Николић Василић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17" w:name="_Toc2_-_КОМУНАЛНЕ_ДЕЛАТНОСТИ"/>
            <w:bookmarkStart w:id="118" w:name="_Toc2_-_КОМУНАЛНЕ_ДЕЛАТНОСТИ"/>
            <w:bookmarkEnd w:id="118"/>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"2 - КОМУНАЛНЕ ДЕЛАТНОСТИ" \l 1 </w:instrText>
            </w:r>
            <w:r>
              <w:rPr/>
              <w:fldChar w:fldCharType="separate"/>
            </w:r>
            <w:r>
              <w:rPr/>
            </w:r>
            <w:r>
              <w:rPr/>
              <w:fldChar w:fldCharType="end"/>
            </w:r>
          </w:p>
          <w:p>
            <w:pPr>
              <w:pStyle w:val="Normal"/>
              <w:rPr>
                <w:b/>
                <w:bCs/>
                <w:color w:val="000000"/>
                <w:sz w:val="12"/>
                <w:szCs w:val="12"/>
              </w:rPr>
            </w:pPr>
            <w:r>
              <w:rPr>
                <w:b/>
                <w:bCs/>
                <w:color w:val="000000"/>
                <w:sz w:val="12"/>
                <w:szCs w:val="12"/>
              </w:rPr>
              <w:t>2 - КОМУНАЛНЕ ДЕЛАТНОСТИ</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Плаћање утрошене електричне енергије и одржавање јавне расвете, Редовно чишћење и одржавање јавних површина, Проширење водоводне мреже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покривености насеља и територије рационалним јавним осветљењем</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Укупна количина потрошене електричне енергије (годишње)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1300000.00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43.260.000,00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43.260.000,00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ИСПОСТАВЉЕНЕ СИТУАЦИЈЕ ОД СТРАНЕ ИЗАБРАНОГ ИЗВОЂАЧА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покривености корисника и територије квалитетним услугама водоснабдевања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домаћинстава обухваћених услугом у односу на укупан број домаћинстава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90.00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ИСПОСТАВЉЕНЕ СИТУАЦИЈЕ ОД СТРАНЕ ИЗАБРАНОГ ИЗВОЂАЧА</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Управљање/одржавање јавним осветљењем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 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ПА планирана су средства за трошкове електричне енергије за јавну расвету као и текуће одржавање и декоративну расвету</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Адекватно управљање јавним осветљењем</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Укупан број замена светиљки након пуцања лампи (на годишњој бази)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570.00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610.00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18.500.000,00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СИТУАЦИЈЕ ОД СТРАНЕ ИЗАБРАНОГ ИЗВОЂАЧА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јавних зелених површина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 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ПА планирана су средства за одржавање јавних зелених површина и за набавку цвећа и зеленила за јавне површине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Максимална могућа покривеност насеља и територије услугама уређења и одржавања зеленила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м2 јавних зелених површина на којима се уређује и одржава зеленило у односу на укупан број м2 зелених површина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7.506.000,00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7.506.000,00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ГРАЂЕВИНСКЕ КЊИГЕ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чистоће на површинама јавне намене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 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ПА планирана су средства одржавање чистоће на улицама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Максимална могућа покривеност насеља и територије услугама одржавања чистоће јавних површина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Степен покривености територије услугама одржавања чистоће јавно-прометних површина (број улица које се чисте у односу на укупан број улица у граду/општини)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10.154.000,00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10.154.000,00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ГРАЂЕВИНСКЕ КЊИГЕ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и снабдевање водом за пиће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0008</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Могућност за прикључење на општински водоводни систем и финансирање изградње бране и акумулације Сврачково</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Адекватан квалитет пружених услуга водоснабдевања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покривености услугама водоснабдевања (% корисника у односу на укупан број становника)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ЕВИДЕНЦИЈЕ ЈКП ЗЕЛЕН</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Марија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Проширење капацитета захватања сирове воде л/с</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1100.00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СИТУАЦИЈЕ ЈП РЗАВ</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19" w:name="_Toc3_-_ЛОКАЛНИ_ЕКОНОМСКИ_РАЗВОЈ"/>
            <w:bookmarkStart w:id="120" w:name="_Toc3_-_ЛОКАЛНИ_ЕКОНОМСКИ_РАЗВОЈ"/>
            <w:bookmarkEnd w:id="120"/>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"3 - ЛОКАЛНИ ЕКОНОМСКИ РАЗВОЈ" \l 1 </w:instrText>
            </w:r>
            <w:r>
              <w:rPr/>
              <w:fldChar w:fldCharType="separate"/>
            </w:r>
            <w:r>
              <w:rPr/>
            </w:r>
            <w:r>
              <w:rPr/>
              <w:fldChar w:fldCharType="end"/>
            </w:r>
          </w:p>
          <w:p>
            <w:pPr>
              <w:pStyle w:val="Normal"/>
              <w:rPr>
                <w:b/>
                <w:bCs/>
                <w:color w:val="000000"/>
                <w:sz w:val="12"/>
                <w:szCs w:val="12"/>
              </w:rPr>
            </w:pPr>
            <w:r>
              <w:rPr>
                <w:b/>
                <w:bCs/>
                <w:color w:val="000000"/>
                <w:sz w:val="12"/>
                <w:szCs w:val="12"/>
              </w:rPr>
              <w:t>3 - ЛОКАЛНИ ЕКОНОМСКИ РАЗВОЈ</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локалног економског развоја, Спровођење мера активне политике запошљавања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запослености на територији града/општине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евидентираних незапослених лица на евиденцији НСЗ (разврстаних по полу и старости)</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1240.00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1240.00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1180.00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5.441.680,00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5.441.680,00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БАЗА ПОДАТАКА НСЗ</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Зоран Чемерикић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привредног и инвестиционог амбијента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је предвиђено је да се изврши ревизија Стратегије локалног економског развоја општине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административних поступака и развој адекватних сервиса и услуга за пружање подршке постојећој привреди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предузећа која су користила услуге и сервисе града/општине у односу на укупан број предузећа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Марија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Мере активне политике запошљавања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су предвиђена средства за спровођење мере активне политике запошљавања у сарадњи са НЦЗ</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броја запослених кроз мере активне политике запошљавања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новозапослених кроз реализацију мера активне политике запошљавања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2.941.680,00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2.941.680,00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1" w:name="_Toc5_-_ПОЉОПРИВРЕДА_И_РУРАЛНИ_РАЗВОЈ"/>
            <w:bookmarkStart w:id="122" w:name="_Toc5_-_ПОЉОПРИВРЕДА_И_РУРАЛНИ_РАЗВОЈ"/>
            <w:bookmarkEnd w:id="122"/>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"5 - ПОЉОПРИВРЕДА И РУРАЛНИ РАЗВОЈ" \l 1 </w:instrText>
            </w:r>
            <w:r>
              <w:rPr/>
              <w:fldChar w:fldCharType="separate"/>
            </w:r>
            <w:r>
              <w:rPr/>
            </w:r>
            <w:r>
              <w:rPr/>
              <w:fldChar w:fldCharType="end"/>
            </w:r>
          </w:p>
          <w:p>
            <w:pPr>
              <w:pStyle w:val="Normal"/>
              <w:rPr>
                <w:b/>
                <w:bCs/>
                <w:color w:val="000000"/>
                <w:sz w:val="12"/>
                <w:szCs w:val="12"/>
              </w:rPr>
            </w:pPr>
            <w:r>
              <w:rPr>
                <w:b/>
                <w:bCs/>
                <w:color w:val="000000"/>
                <w:sz w:val="12"/>
                <w:szCs w:val="12"/>
              </w:rPr>
              <w:t>5 - ПОЉОПРИВРЕДА И РУРАЛНИ РАЗВОЈ</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0101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 xml:space="preserve">Закон о подстицајима у пољопривреди и руралном развоју </w:t>
              <w:br/>
              <w:t>Закон о пољопривредном земљишту</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Финансирање подршке пољопривредној производњи и руралном развоју, подстицаји за набавку опреме и механизације. У оквиру овог програма реализује се и пројекат уз подршку Европске Уније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Раст производње и стабилност дохотка произвођача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корисника мера усвојене пољопривредне политике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250.00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260.00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12.300.000,00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12.300.000,00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ПРОГРАМА МЕРА ПОДРШКЕ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новорегистрованих пољопривредних газдинстава на годисњем нивоу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ИЗВОД ИЗ РЕГИСТРА ПОЉОПРИВРЕДНИХ ГАЗДИНСТАВА</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за спровођење пољопривредне политике у локалној заједници</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пољопривредном земљишту</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актвиности предвиђена су средства за активности на заштити, уређењу и коришћењу пољопривредног земљишта, у складу са усвојеним Годишњим програмом заштите, уређење и коришћење пољопривредног земљишта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Ефикасно управљање пољопривредним земљиштем у државној својини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обухваћености пољопривредног земљишта у годишњем Програму заштите, уређења и коришћења пољопривредног земљишта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ДАВАЊУ У ЗАКУП ДРЖАВНОГ ПОЉОПРИВРЕДНОГ ЗЕМЉИШТА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Мере подршке руралном развоју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подстицајима у пољопривреди и руралном развоју</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Финансирање рада основне одгајивачке организације ( уматичење крава,  вођење матичних евиденција), контрола плодности пољопривредног земљишта, одобравање подстицаја за набавку пољопривредне опреме и механизације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руралног развоја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регистрованих пољопривредних газдинстава која су корисници мера руралног развоја у односу на укупан број пољопривредних газдинстава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56.00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56.00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ПРОГРАМА МЕРА ПОДРШКЕ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Јована Марић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3" w:name="_Toc6_-_ЗАШТИТА_ЖИВОТНЕ_СРЕДИНЕ"/>
            <w:bookmarkStart w:id="124" w:name="_Toc6_-_ЗАШТИТА_ЖИВОТНЕ_СРЕДИНЕ"/>
            <w:bookmarkEnd w:id="124"/>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"6 - ЗАШТИТА ЖИВОТНЕ СРЕДИНЕ" \l 1 </w:instrText>
            </w:r>
            <w:r>
              <w:rPr/>
              <w:fldChar w:fldCharType="separate"/>
            </w:r>
            <w:r>
              <w:rPr/>
            </w:r>
            <w:r>
              <w:rPr/>
              <w:fldChar w:fldCharType="end"/>
            </w:r>
          </w:p>
          <w:p>
            <w:pPr>
              <w:pStyle w:val="Normal"/>
              <w:rPr>
                <w:b/>
                <w:bCs/>
                <w:color w:val="000000"/>
                <w:sz w:val="12"/>
                <w:szCs w:val="12"/>
              </w:rPr>
            </w:pPr>
            <w:r>
              <w:rPr>
                <w:b/>
                <w:bCs/>
                <w:color w:val="000000"/>
                <w:sz w:val="12"/>
                <w:szCs w:val="12"/>
              </w:rPr>
              <w:t>6 - ЗАШТИТА ЖИВОТНЕ СРЕДИНЕ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0401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 оквиру овог програма предвиђена су средства за замену и реконструкцију делова постојеће канализационе мреже.и средства за инвестиције на регионалној санитарној депонији Дубоко Ужице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управљања отпадним водама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становника прикључен на јавну канализацију у односу на укупан број становника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67.00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29.500.000,00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6.553.000,00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36.053.000,00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ЕВИДЕНТИРАНИ КОРИСНИЦИ ЈКП ЗЕЛЕН</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управљања комуналним и осталим отпадом</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становништва покривеног услугом прикупљања комуналног отпада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67.00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ЕВИДЕНЦИЈЕ ЈКП ЗЕЛЕН</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Праћење квалитета елемената животне средине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Контрола квалитета елемената животне средине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извршених инспекцијских надзора над спровођењем мера заштите ваздуха од загађивања у објектима за које надлежни орган града/општине (и/или АП) издаје одобрење за градњу, односно употребну дозволу у односу на укупан број ових објеката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ИНСПЕКЦИЈСКОГ НАДЗОРА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отпадним водама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комуналним делатностима, Скупштинска одлука о вршењу комуналних делатности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Санација постојећег канализационог цевовода у улицама које се планирају за реконструкцију и пројектно планирање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Максимална могућа покривеност корисника и територије услугама уклањања отпадних вода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домаћинстава обухваћених услугом у односу на укупан број домаћинстава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67.00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1.300.000,00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ЕВИДЕНТИРАНИ КОРИСНИЦИ ЈКП ЗЕЛЕН</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Замена постојећих канализационих цеви у метрима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комуналним отпадом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0005</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Уговор о оснивању и коришћењу Регионалне санитарне депоније Дубоко</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активности предвиђена су средства за потребе регионалне санитарне депоније Дубоко, Ужице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Спровођење редовних мерења на територији града/општине и испуњење обавеза у складу са законима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спроведених мерења количина комуналног отпада у складу са Законом о управљању отпадом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26.200.000,00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26.200.000,00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Побољшање отпорности на климу у Ариљу: Партипативни приступ за одрживу адаптацију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0401-5010</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климатске отпорности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донешених стратегија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6.553.000,00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6.553.000,00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5" w:name="_Toc7_-_ОРГАНИЗАЦИЈА_САОБРАЋАЈА_И_САОБРА"/>
            <w:bookmarkStart w:id="126" w:name="_Toc7_-_ОРГАНИЗАЦИЈА_САОБРАЋАЈА_И_САОБРА"/>
            <w:bookmarkEnd w:id="126"/>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"7 - ОРГАНИЗАЦИЈА САОБРАЋАЈА И САОБРАЋАЈНА ИНФРАСТРУКТУРА" \l 1 </w:instrText>
            </w:r>
            <w:r>
              <w:rPr/>
              <w:fldChar w:fldCharType="separate"/>
            </w:r>
            <w:r>
              <w:rPr/>
            </w:r>
            <w:r>
              <w:rPr/>
              <w:fldChar w:fldCharType="end"/>
            </w:r>
          </w:p>
          <w:p>
            <w:pPr>
              <w:pStyle w:val="Normal"/>
              <w:rPr>
                <w:b/>
                <w:bCs/>
                <w:color w:val="000000"/>
                <w:sz w:val="12"/>
                <w:szCs w:val="12"/>
              </w:rPr>
            </w:pPr>
            <w:r>
              <w:rPr>
                <w:b/>
                <w:bCs/>
                <w:color w:val="000000"/>
                <w:sz w:val="12"/>
                <w:szCs w:val="12"/>
              </w:rPr>
              <w:t>7 - ОРГАНИЗАЦИЈА САОБРАЋАЈА И САОБРАЋАЈНА ИНФРАСТРУКТУРА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0701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путевима</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Одржавање, реконструкција и изградња саобраћајне инфраструктуре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Развијеност инфраструктуре у контексту доприноса социо економском развоју</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Дужина изграђених саобраћајница које су у надлежности града/општине (у км)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117.400.000,00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95.800.000,00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213.200.000,00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БАЗА ПОДАТАКА ОПШТИНСКИХ ПУТЕВА И УЛИЦА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Зоран Чемерикић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и одржавање саобраћајне инфраструктуре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Скупштинска одлука о одржавању градских улица и локалних путева на територији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реконструкција и изградња саобраћајне инфраструктуре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квалитета путне мреже кроз реконструкцију и редовно одржавање асфалтног покривача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санираних путева од укупне дужине путне мреже која захтева санацију и/или реконструкцију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25.800.000,00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71.100.000,00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Марија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километара санираних и/или реконструисаних путева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28.00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Одржавање квалитета улица кроз реконструкцију и редовно одржавање асфалтног покривача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од укупне дужине улица која захтева санацију и/или реконструкцију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47.00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41.00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километара санираних и/или реконструисаних улица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28.00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27.00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Опремање и одржавање саобраћајне сигнализације на путевима и улицама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поправљених и новопостављених саобраћајних знакова и семафора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Дужина хоризонталне саобраћајне сигнализације (у км)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9.60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ИСПОСТАВЉЕНЕ И ОВЕРЕНЕ СИТУАЦИЈЕ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безбедности саобраћаја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0005</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безбедности саобраћаја на путевима, Закон о путевима</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Планирана средства за унапредјење безбедности деце у саобрацају</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безбедности саобраћаја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мањи број саобраћајних незгода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1.100.000,00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РЕКОНСТРУКЦИЈА УЛИЦЕ СВЕТОГ АХИЛИЈА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0701-5003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закључен уговор са Министарством привреде дана 23.12.2024</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извођење радова на пројекту реконструкције главне улице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инвестиционих потенцијала општине Ариље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новозапослених у пословној зони улице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71.000.000,00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141.000.000,00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Зоран Чемерикић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7" w:name="_Toc8_-_ПРЕДШКОЛСКО_ВАСПИТАЊЕ"/>
            <w:bookmarkStart w:id="128" w:name="_Toc8_-_ПРЕДШКОЛСКО_ВАСПИТАЊЕ"/>
            <w:bookmarkEnd w:id="128"/>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"8 - ПРЕДШКОЛСКО ВАСПИТАЊЕ" \l 1 </w:instrText>
            </w:r>
            <w:r>
              <w:rPr/>
              <w:fldChar w:fldCharType="separate"/>
            </w:r>
            <w:r>
              <w:rPr/>
            </w:r>
            <w:r>
              <w:rPr/>
              <w:fldChar w:fldCharType="end"/>
            </w:r>
          </w:p>
          <w:p>
            <w:pPr>
              <w:pStyle w:val="Normal"/>
              <w:rPr>
                <w:b/>
                <w:bCs/>
                <w:color w:val="000000"/>
                <w:sz w:val="12"/>
                <w:szCs w:val="12"/>
              </w:rPr>
            </w:pPr>
            <w:r>
              <w:rPr>
                <w:b/>
                <w:bCs/>
                <w:color w:val="000000"/>
                <w:sz w:val="12"/>
                <w:szCs w:val="12"/>
              </w:rPr>
              <w:t>8 - ПРЕДШКОЛСКО ВАСПИТАЊЕ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обезбеђени адекватни услови за васпитно образовни рад са децом уз повећан обухват</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посебних и специјалних програма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199.775.720,00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7.979.165,00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207.754.885,00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Нада Павловић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стручних сарадника који су добили најмање 24 бода за стручно усаврашавање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100(95%ж-5%м)</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 остваривање предшколскогваспитања и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адекватни услови за васпитно-образовни рад са децом уз повећан обухват</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деце у групи (јасле, предшколски, припремни предшколски програм/ППП)</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199.775.720,00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7.979.165,00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207.754.885,00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Нада Павловић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29" w:name="_Toc9_-_ОСНОВНО_ОБРАЗОВАЊЕ"/>
            <w:bookmarkStart w:id="130" w:name="_Toc9_-_ОСНОВНО_ОБРАЗОВАЊЕ"/>
            <w:bookmarkEnd w:id="130"/>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"9 - ОСНОВНО ОБРАЗОВАЊЕ" \l 1 </w:instrText>
            </w:r>
            <w:r>
              <w:rPr/>
              <w:fldChar w:fldCharType="separate"/>
            </w:r>
            <w:r>
              <w:rPr/>
            </w:r>
            <w:r>
              <w:rPr/>
              <w:fldChar w:fldCharType="end"/>
            </w:r>
          </w:p>
          <w:p>
            <w:pPr>
              <w:pStyle w:val="Normal"/>
              <w:rPr>
                <w:b/>
                <w:bCs/>
                <w:color w:val="000000"/>
                <w:sz w:val="12"/>
                <w:szCs w:val="12"/>
              </w:rPr>
            </w:pPr>
            <w:r>
              <w:rPr>
                <w:b/>
                <w:bCs/>
                <w:color w:val="000000"/>
                <w:sz w:val="12"/>
                <w:szCs w:val="12"/>
              </w:rPr>
              <w:t>9 - ОСНОВНО ОБРАЗОВАЊЕ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2003</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Програм 9- Основно образовање и васпитање уеђен је следећим прописима.Закон о основама система образовања и васпитања, Закон о основном образовању и васпитању. У овој области примењује се стратегије развоја образовања у РС до 2020 године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Програмом основног образовања финансирају се установе и активности у области образовања и васпитања у складу са Годишњем планом рада образовне установе. Програм обезбеђује доступност образовања свој деци на територији ЈЛС</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потпуни обухват основним образовањем и васпитањем</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дневник рада Матична књига за свако формирано одељење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1050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85.834.000,00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85.834.000,00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ДНЕВНИК РАДА И МАТИЧНА КЊИГА ЗА СВАКО ФОРМИРАНО ОДЕЉЕЊЕ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Љиљана Лазовић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доступности основног образовања деци из осетљивих група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Матичне књиге , дневници педагошки профили</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МАТИЧНЕ КЊИГЕ, ДНЕВНИЦИ, ПЕДАГОШКИ ПРОФИЛИ</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талентоване деце подржане од стране општине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школских објеката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19.402.000,00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19.402.000,00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Рада Ивковић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стручних лица која су добила најмање 24 бода за стручно усавршавање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ТИМА ЗА ПРАЋЕЊЕ СТРУЧНОГ УСАВРШАВАЊА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ДНЕВНИК РАДА И МАТИЧНА КЊИГА ЗА СВАКО ФОРМИРАНО ОДЕЉЕЊЕ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ученика по одељењу (разврстани по полу)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26</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33.780.000,00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33.780.000,00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МАТИЧНЕ КЊИГЕ, ДНЕВНИЦИ, ПЕДАГОШКИ ПРОФИЛИ</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Љиља Лазовић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160(70м-90Ж9</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160(70м-90ж)</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СА ТАКМИЧЕЊА, ЗАПИСНИЦИ СТРУЧНИХ ВЕЋА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стручних лица који су добили најмање 24 бода за стручно усавршавање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20(15ж-5м)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ТИМА ЗА ПРАЋЕЊЕ СТРУЧНОГ УСАВРШАВАЊА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талентоване деце подржане од стране општине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100(95%ж-5%м)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СПИСАК НАГРАЂЕНИХ УЧЕНИКА ОД СТРАНЕ ШКОЛЕ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школских објеката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15.411.000,00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15.411.000,00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ПОСЕДОВНИ ЛИСТ</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Душко Бјекић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75</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СА ТАКМИЧЕЊА, ЗАПИСНИЦИ СТРУЧНИХ ВЕЋА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основног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са децом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ученика по одељењу (разврстани по полу)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16.041.000,00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16.041.000,00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Горан Ичелић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школских објеката/број школа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ПОПИСНЕ ЛИСТЕ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и васпитања у основним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58(30ж-28м)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58(30ж-28м)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63(33ж-30М)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70(40ж-30м)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72(42ж-30м)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ДНЕВНИК РАДА И МАТИЧНА КЊИГА ЗА СВАКО ФОРМИРАНО ОДЕЉЕЊЕ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1" w:name="_Toc10_-_СРЕДЊЕ_ОБРАЗОВАЊЕ"/>
            <w:bookmarkStart w:id="132" w:name="_Toc10_-_СРЕДЊЕ_ОБРАЗОВАЊЕ"/>
            <w:bookmarkEnd w:id="132"/>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"10 - СРЕДЊЕ ОБРАЗОВАЊЕ" \l 1 </w:instrText>
            </w:r>
            <w:r>
              <w:rPr/>
              <w:fldChar w:fldCharType="separate"/>
            </w:r>
            <w:r>
              <w:rPr/>
            </w:r>
            <w:r>
              <w:rPr/>
              <w:fldChar w:fldCharType="end"/>
            </w:r>
          </w:p>
          <w:p>
            <w:pPr>
              <w:pStyle w:val="Normal"/>
              <w:rPr>
                <w:b/>
                <w:bCs/>
                <w:color w:val="000000"/>
                <w:sz w:val="12"/>
                <w:szCs w:val="12"/>
              </w:rPr>
            </w:pPr>
            <w:r>
              <w:rPr>
                <w:b/>
                <w:bCs/>
                <w:color w:val="000000"/>
                <w:sz w:val="12"/>
                <w:szCs w:val="12"/>
              </w:rPr>
              <w:t>10 - СРЕДЊЕ ОБРАЗОВАЊЕ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2004</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средњој школи. Закон о основама система образовања и васпитања</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функионисање средњих школа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обухвата средњошколског образовања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деце која су обухваћена средњим образовањем (разложено према полу)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350(180Ж-170м)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350(180Ж-170м)</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350(190Ж-160М)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370(190Ж-180М)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400(210Ж-190М)</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19.842.000,00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19.842.000,00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ДНЕВНИК РАДА И МАТИЧНА КЊИГА ЗА СВАКО ФОРМИРАНО ОДЕЉЕЊЕ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Бранислав Ђорђевић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доступности средњег образовања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објеката који су прилагодили простор за децу са инвалидитетом у односу на укупан број објеката средњих школа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ПОПИСНЕ ЛИСТЕ</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деце која се школују у средњим школама на основу индивидуалног образовног плана (ИОП2) у односу на укупан број деце одговарајуће старосне групе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1,60</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Реализација делатности средњег образовања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прописани услови за васпитно-образовни рад у средњим школама и безбедно одвијање наставе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број ученика по одељењу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23((15Ж-9М)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23((15Ж-9М)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23(15Ж-9М)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24(14Ж-10М)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24((12Ж-12М)</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19.842.000,00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19.842.000,00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ИЗВЕШТАЈИ ОДЕЉЕНСКИХ СТАРЕШИНА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Бранислав Ђорђевић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квалитета образовања у средњим школама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ученика који похађају ваннаставне активности/у односу на укупан број ученика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170(90Ж-80М)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170(90Ж-80М)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170(85Ж-85М)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170(85Ж-85М)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170(85Ж-85М)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ДНЕВНИК РАДА И МАТИЧНА КЊИГА ЗА СВАКО ФОРМИРАНО ОДЕЉЕЊЕ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запослених који су добили најмање 24 бода за стручно усавршавање кроз учешће на семинарима на годишњем нивоу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20(10М-10Ж)</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ТИМА ЗА ПРАЋЕЊЕ СТРУЧНОГ УСАВРШАВАЊА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талентоване деце подржане од стране града/општине у односу на укупан број деце у школама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20(10Ж-10М)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20(10Ж-10М)</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60(30Ж-30М)</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60(30Ж-30М)</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ТИМОВА ЗА СВЕ ВИДОВЕ ТАКМИЧЕЊА</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3" w:name="_Toc11_-_СОЦИЈАЛНА_И_ДЕЧЈА_ЗАШТИТА"/>
            <w:bookmarkStart w:id="134" w:name="_Toc11_-_СОЦИЈАЛНА_И_ДЕЧЈА_ЗАШТИТА"/>
            <w:bookmarkEnd w:id="134"/>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"11 - СОЦИЈАЛНА И ДЕЧЈА ЗАШТИТА" \l 1 </w:instrText>
            </w:r>
            <w:r>
              <w:rPr/>
              <w:fldChar w:fldCharType="separate"/>
            </w:r>
            <w:r>
              <w:rPr/>
            </w:r>
            <w:r>
              <w:rPr/>
              <w:fldChar w:fldCharType="end"/>
            </w:r>
          </w:p>
          <w:p>
            <w:pPr>
              <w:pStyle w:val="Normal"/>
              <w:rPr>
                <w:b/>
                <w:bCs/>
                <w:color w:val="000000"/>
                <w:sz w:val="12"/>
                <w:szCs w:val="12"/>
              </w:rPr>
            </w:pPr>
            <w:r>
              <w:rPr>
                <w:b/>
                <w:bCs/>
                <w:color w:val="000000"/>
                <w:sz w:val="12"/>
                <w:szCs w:val="12"/>
              </w:rPr>
              <w:t>11 - СОЦИЈАЛНА И ДЕЧЈА ЗАШТИТА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0902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осоцијалној заштити сл.гласник 24/11</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обезбеђење свеобухватне социјалне заштите и помоћи најугроженијем становништву општине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доступности права и услуга социјалне заштите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корисника локалних социјалних услуга у односу на укупан број корисника социјалне и дечје заштите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2,2(1,5ж-0,7м)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2,2(1,5ж-0,7м)</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2,30(1,8ж-0,5м)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2,30(1,8ж-0,5м)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2,30(1,8ж-0,5м)</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37.561.378,00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1.256.200,00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38.817.578,00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Зорица Ђерић Стојичић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Једнократне помоћи и други облици помоћи</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заштите сиромашних</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грађана који добијају новчане накнаде и помоћ у натури у складу са Одлуком о социјалној заштити у односу на укупан број грађана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9.959.000,00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9.959.000,00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Зорица Ђерић Стојичић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Дневне услуге у заједници</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0016</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доступности и ефикасности дневних услуга у заједници за стара лица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Удео броја еквивалентних корисника по моделу интензивног пружања услуге у броју становника старијих од 65 година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2.600.000,00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2.600.000,00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реализацији програма Црвеног крста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0018</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Социјално деловање-олакшавање људске патње пружањем неопходне ургентне помоћи лицима у невољи, развијањем солидарности међу људима, организовањем различитих облика помоћи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акција на прикупљању различитих врста помоћи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Милица Ћосовић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деци и породици са децом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0019</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услуга соијалне заштите за децу и породицу</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корисника услуга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34</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17.102.378,00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17.102.378,00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Драгана Ерић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рађању и родитељству</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0020</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породицама да остваре жељени број деце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Просечан износ давања за мере подршке рађању по рођеном детету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особама са инвалидитетом</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0021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Обезбеђивање услуга социјалне заштите за старије и одрасле са инвалидитетом</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корисника услуга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3.500.000,00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УВОЂЕЊЕ ИНОВАТИВНЕ УСЛУГЕ ПОРОДИЧНИ САВЕТНИК</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0902-7002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грант уговор закључен дана 28.03.2025</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допринос успостављању одржививог ефективног и ефикасног локалног сиситема соцвијалне заштите у општини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социјално деловање-олакшавање људске патње пружањем неопходне ургентне помоћи лицима у невољи развијањем солидарностимеђу људима , организовање различите облика помоћи</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корисника саветодавне терапијских и социо едукативних услуга у заједници</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1.256.200,00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1.256.200,00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Радојко Крчевинац</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5" w:name="_Toc12_-_ЗДРАВСТВЕНА_ЗАШТИТА"/>
            <w:bookmarkStart w:id="136" w:name="_Toc12_-_ЗДРАВСТВЕНА_ЗАШТИТА"/>
            <w:bookmarkEnd w:id="136"/>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"12 - ЗДРАВСТВЕНА ЗАШТИТА" \l 1 </w:instrText>
            </w:r>
            <w:r>
              <w:rPr/>
              <w:fldChar w:fldCharType="separate"/>
            </w:r>
            <w:r>
              <w:rPr/>
            </w:r>
            <w:r>
              <w:rPr/>
              <w:fldChar w:fldCharType="end"/>
            </w:r>
          </w:p>
          <w:p>
            <w:pPr>
              <w:pStyle w:val="Normal"/>
              <w:rPr>
                <w:b/>
                <w:bCs/>
                <w:color w:val="000000"/>
                <w:sz w:val="12"/>
                <w:szCs w:val="12"/>
              </w:rPr>
            </w:pPr>
            <w:r>
              <w:rPr>
                <w:b/>
                <w:bCs/>
                <w:color w:val="000000"/>
                <w:sz w:val="12"/>
                <w:szCs w:val="12"/>
              </w:rPr>
              <w:t>12 - ЗДРАВСТВЕНА ЗАШТИТА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Унапређење здравља становништва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Покривеност становништва примарном здравственом заштитом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2.800.000,00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2.800.000,00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ЕВИДЕНЦИЈА ДОМА ЗДРАВЉА УЗИЦЕ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Цветиц</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установа примарне здравствене заштите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здравственој застити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Унапредјење квалитета и безбедности прузања здравствена застите у складу са дефинисаним националним и стандардима које дефинисе СЗО</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доступности, квалитета и ефикасности примарне здравствене заштите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здравствених радника/сарадника подржаних едукативним програмима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Мртвозорство</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здравственој застити</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планирана су средства за исплату накнаде за рад комисије за утврђивање смрти</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7" w:name="_Toc13_-_РАЗВОЈ_КУЛТУРЕ_И_ИНФОРМИСАЊА"/>
            <w:bookmarkStart w:id="138" w:name="_Toc13_-_РАЗВОЈ_КУЛТУРЕ_И_ИНФОРМИСАЊА"/>
            <w:bookmarkEnd w:id="138"/>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"13 - РАЗВОЈ КУЛТУРЕ И ИНФОРМИСАЊА" \l 1 </w:instrText>
            </w:r>
            <w:r>
              <w:rPr/>
              <w:fldChar w:fldCharType="separate"/>
            </w:r>
            <w:r>
              <w:rPr/>
            </w:r>
            <w:r>
              <w:rPr/>
              <w:fldChar w:fldCharType="end"/>
            </w:r>
          </w:p>
          <w:p>
            <w:pPr>
              <w:pStyle w:val="Normal"/>
              <w:rPr>
                <w:b/>
                <w:bCs/>
                <w:color w:val="000000"/>
                <w:sz w:val="12"/>
                <w:szCs w:val="12"/>
              </w:rPr>
            </w:pPr>
            <w:r>
              <w:rPr>
                <w:b/>
                <w:bCs/>
                <w:color w:val="000000"/>
                <w:sz w:val="12"/>
                <w:szCs w:val="12"/>
              </w:rPr>
              <w:t>13 - РАЗВОЈ КУЛТУРЕ И ИНФОРМИСАЊА</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1201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култури РС (СЛ.гласник РС 72/2009), Закон о библиотечко-информационој делатности (Сл.гласник РС 52/11), Програм развоја општине Ариље од 2007 до 2020 године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Библиотека Ариље је поливалентна установа културе у оквиру које функционишу библиотека, градска галерија, биоскоп, туристички инфо центар и спортски објекти. Има 11 запослених, подразумева организацију свеобухватног културног живота Ариље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подстицање развоја културе уз поштвање принципа родне равноправности</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посетилаца који доприносе остваривању општег интереса у култури који су разврстани по полу на 1000 становника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 м, 60%з</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 м, 60%з</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45%м55%з</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50%м,50%з</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50%м,50%з</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37.095.610,00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512.000,00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37.607.610,00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ГОДИШЊЕГ ПЛАНА РАДА УСТАНОВЕ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Сања Софијанић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реализованих програма на 1000 становника који доприносе остваривању општег интереса у култури и промоцији родне равноправности или права жена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40(9 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40(9 р)</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50(11р)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60(13р)</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60(15р)</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ГОДИШЊЕГ ПЛАНА РАДА УСТАНОВЕ</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обезбеђење редовног функионисања установа културе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заполсених у установама културе у односу на укупан број запослених у ЈЛС , разврстан по полу</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14-12ж</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локалних установа културе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култури, Закон о библиотечко-информационој делатности, програм развоја општине Ариље, Програм рада библиотеке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Библиотека Ариље је поливалентна установа културе у оквиру које функционишу библиотека, градска галерија, биоскоп, туристички инфо центар и спортски објекти. Има 11 запослених, подразумева организацију свеобухватног културног живота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Обезбеђење редовног функционисања установа културе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запослених у установама културе у односу на укупан број запослених у ЈЛС</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14(12ж)</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25.475.610,00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212.000,00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25.687.610,00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ПРОГРАМ РАДА БИБЛИОТЕКЕ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Сања Софијанић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Јачање културне продукције и уметничког стваралаштва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култури, Закон о библиотечко-информационој делатности, програм развоја општине Ариље, Програм рада библиотеке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Библиотека Ариље је поливалентна установа културе у оквиру које функционишу библиотека, градска галерија, биоскоп, туристички инфо центар и спортски објекти. Има 11 запослених, подразумева организацију свеобухватног културног живота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Повећање учешћа грађана у културној продукцији и уметничком стваралаштву</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грађана који су учествовали у програмима културне продукције уметничког стваралаштва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1400(40%м-60%ж)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1400(40%м-60%ж)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1000(30%-70%ж)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1000(30%м-70%ж)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1000(30%м-70%ж)</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3.620.000,00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3.920.000,00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Сања Софијанић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разноврсности културне понуде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програма и пројеката подржаних од стране града/општине намењених осетљивим друштвеним групама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30(20%м-80%ж)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30(20%м-80%ж)</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50(40%м-60%ж)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50(40%м-60%ж)</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50(40%м-60%ж)</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система очувања и представљања културно-историјског наслеђа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0003</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Очување и заштита културног наслеђа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пројеката за очување и заштиту културног наслеђа у надлежности ЈЛС са комплетном пројектно-техничком документацијом за рехабилитацију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Остваривање и унапређивање јавног интереса у области јавног информисања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конкурс</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Повећана понуда квалитетних медијских садржаја из области друштвеног живота локалне заједнице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програмских садржаја подржаних на конкурисма јавног информисања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39" w:name="_Toc14_-_РАЗВОЈ_СПОРТА_И_ОМЛАДИНЕ"/>
            <w:bookmarkStart w:id="140" w:name="_Toc14_-_РАЗВОЈ_СПОРТА_И_ОМЛАДИНЕ"/>
            <w:bookmarkEnd w:id="140"/>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"14 - РАЗВОЈ СПОРТА И ОМЛАДИНЕ" \l 1 </w:instrText>
            </w:r>
            <w:r>
              <w:rPr/>
              <w:fldChar w:fldCharType="separate"/>
            </w:r>
            <w:r>
              <w:rPr/>
            </w:r>
            <w:r>
              <w:rPr/>
              <w:fldChar w:fldCharType="end"/>
            </w:r>
          </w:p>
          <w:p>
            <w:pPr>
              <w:pStyle w:val="Normal"/>
              <w:rPr>
                <w:b/>
                <w:bCs/>
                <w:color w:val="000000"/>
                <w:sz w:val="12"/>
                <w:szCs w:val="12"/>
              </w:rPr>
            </w:pPr>
            <w:r>
              <w:rPr>
                <w:b/>
                <w:bCs/>
                <w:color w:val="000000"/>
                <w:sz w:val="12"/>
                <w:szCs w:val="12"/>
              </w:rPr>
              <w:t>14 - РАЗВОЈ СПОРТА И ОМЛАДИНЕ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1301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Активно партнерство субјеката омладинске политике у развоју омладинске политике и спровођењу омладинских активности, као и у развоју и спровођењу локалних политика које се тичу младих</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укључених младих у омладинске програме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70(70%м-30%ж)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70(70%м-30%ж)</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75(70%м-30%ж)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80(70%м-30%ж)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80(70%м-30%ж)</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45.497.470,00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600.000,00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46.097.470,00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Саша Луковић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институција  и организација са којима је остварено партнерство путем споразума о срадњи</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Регистрован број волонтера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10(5м-5Ж)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10(5м-5Ж)</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15(7м-8Ж)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17(7М-8Ж)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18(8М-10Ж)</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обезбеђење услова за бављење спортом</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спортких организација преко којих се остварује јавни интерес у области спорта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23(2ж)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23(2ж)</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24(2Ж)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27(2ж)</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31(2ж)</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чланова спортских организација и удружења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22</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27</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27</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ГОДИШЊИ ФИНАНСИЈСКИ ИЗВЕШТАЈ</w:t>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спроведених акција, програма и пројеката који подржавају рекреативно бављење спортом</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22</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6</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7</w:t>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Подршка локалним спортским организацијама, удружењима и савезима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спорту, Правилник о одобравању и финансирању програма којима се задовољавају потребе и интереси градјана у области спорта на територији опстине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 оквиру ове програмске активности планирана су средства за финансирање локалних спортских организација и удрузења и савеза као и задовољавање потреба и интереса градјана у области спорта на територији опстине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Унапређење подршке локалним спортским организацијама преко којих се остварује јавни интерес у области спорта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годишњих програма спортских организација финансираних од стране града/општине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23</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27</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ИЗВРШЕЊУ БУЏЕТА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 Председник опстине</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локалних спортских установа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Обезбеђивање услова за рад установа из области спорта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програма које реализују установе из области спорта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22.497.470,00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600.000,00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23.097.470,00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ГОДИШЊИ ФИНАНСИЈСКИ ИЗВЕШТАЈ</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Саша Луковић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1" w:name="_Toc15_-_ОПШТЕ_УСЛУГЕ_ЛОКАЛНЕ_САМОУПРАВЕ"/>
            <w:bookmarkStart w:id="142" w:name="_Toc15_-_ОПШТЕ_УСЛУГЕ_ЛОКАЛНЕ_САМОУПРАВЕ"/>
            <w:bookmarkEnd w:id="142"/>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"15 - ОПШТЕ УСЛУГЕ ЛОКАЛНЕ САМОУПРАВЕ" \l 1 </w:instrText>
            </w:r>
            <w:r>
              <w:rPr/>
              <w:fldChar w:fldCharType="separate"/>
            </w:r>
            <w:r>
              <w:rPr/>
            </w:r>
            <w:r>
              <w:rPr/>
              <w:fldChar w:fldCharType="end"/>
            </w:r>
          </w:p>
          <w:p>
            <w:pPr>
              <w:pStyle w:val="Normal"/>
              <w:rPr>
                <w:b/>
                <w:bCs/>
                <w:color w:val="000000"/>
                <w:sz w:val="12"/>
                <w:szCs w:val="12"/>
              </w:rPr>
            </w:pPr>
            <w:r>
              <w:rPr>
                <w:b/>
                <w:bCs/>
                <w:color w:val="000000"/>
                <w:sz w:val="12"/>
                <w:szCs w:val="12"/>
              </w:rPr>
              <w:t>15 - ОПШТЕ УСЛУГЕ ЛОКАЛНЕ САМОУПРАВЕ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0602</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 Закон о финансирању локалне самоуправе,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Овим програмом обезбеђују се средства за задовољавање потреба и интереса грађана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202.922.100,00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500.000,00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203.422.100,00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Ранисав Сарић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локалне самоуправе и градских општина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Статут општине, Одлука о организацији Општинске управе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Решава у првом степену о правима и дужностима грађана, предузећа и установа, у пословима из надлежности општине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управе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Проценат решених предмета у календарској години (у законском року, ван законског рока)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99.00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176.065.720,00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176.065.720,00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210.600,00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210.600,00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Мишо Савић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211.200,00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211.200,00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Миле Савић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270.600,00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270.600,00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 Иконић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434.400,00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434.400,00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Ранисав Сарић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312.600,00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312.600,00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Стево Терзић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224.400,00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224.400,00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Жељко Ивановић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328.200,00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328.200,00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Божо Петровић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379.800,00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379.800,00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Владе Митровић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105.600,00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405.600,00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Драган Симовић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582.600,00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582.600,00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Миладин Вукотић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219.000,00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219.000,00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Весна Џелебџић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223.800,00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423.800,00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Славе Вуколић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146.400,00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146.400,00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Радован Луковић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175.800,00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175.800,00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Славко Јоксимовић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121.200,00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121.200,00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Бранко Стојковић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141.600,00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141.600,00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Милан Поповић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207.600,00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207.600,00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Милија Милекић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7.00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393.000,00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393.000,00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Милан Ђукић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246.600,00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246.600,00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Миле Јаџић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150.600,00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150.600,00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Срећко Гавриловић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457.800,00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457.800,00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Милан Илић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месних заједница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Закон о финансирању локалне самоуправе, Статут општине Ариље, Одлуке МЗ о увођењу самодоприноса на подручју МЗ</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Кроз ову активност се обезбеђују услови за финансирање основних послова месних заједница, изградњу, реконструкцију и одржавање објеката на подручјима месних заједница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Обезбеђено задовољавање потреба и интереса локалног становништва деловањем месних заједница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иницијатива/предлога месних заједница према граду/општини у вези са питањима од интереса за локално становништво</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456.600,00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456.600,00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МЕСНИХ ЗАЈЕДНИЦА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Иван Димитријевић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Општинско/градско правобранилаштво</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правобранилаштву, Закон о локалној самоуправи, Статут општине Ариље и Одлука о општинском правобранилаштву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правна заштита имовинских права и интереса општине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Заштита имовинских права и интереса града/општине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решених предмета у односу на укупан број предмета на годишњем нивоу</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170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3.006.380,00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3.006.380,00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Душица Врањевац Стјепановић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правних мишљења која су дата органима града/општине, стручним службама и другим правним лицима чија имовинска и друга права заступа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45.00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55.00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60.00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РАДУ ОПШТИНСКЕ УПРАВЕ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Текућа буџетска резерва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0009</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10.000.000,00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Стална буџетска резерва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0010</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300.000,00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Управљање у ванредним ситуацијама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0014</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Изградња ефикасног превентивног система заштите и спасавања на избегавању последица елементарних и других непогода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идентификованих објеката критичне инфраструктуре (нпр. трафостанице)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550.000,00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550.000,00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ОДРЖИВО ФУНКЦИОНИСАЊЕ НВО</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0602-4006</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ОБЕЗБЕЂЕНИ СТАБИЛНИЈИ УСЛОВИ ПРИХОДА ЗА ОРГАН.ГРАЂАНСКОГ ДРУШТВА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организација грађанског друштва које су подржане од стране буџета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7.000.000,00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3" w:name="_Toc16_-_ПОЛИТИЧКИ_СИСТЕМ_ЛОКАЛНЕ_САМОУП"/>
            <w:bookmarkStart w:id="144" w:name="_Toc16_-_ПОЛИТИЧКИ_СИСТЕМ_ЛОКАЛНЕ_САМОУП"/>
            <w:bookmarkEnd w:id="144"/>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"16 - ПОЛИТИЧКИ СИСТЕМ ЛОКАЛНЕ САМОУПРАВЕ" \l 1 </w:instrText>
            </w:r>
            <w:r>
              <w:rPr/>
              <w:fldChar w:fldCharType="separate"/>
            </w:r>
            <w:r>
              <w:rPr/>
            </w:r>
            <w:r>
              <w:rPr/>
              <w:fldChar w:fldCharType="end"/>
            </w:r>
          </w:p>
          <w:p>
            <w:pPr>
              <w:pStyle w:val="Normal"/>
              <w:rPr>
                <w:b/>
                <w:bCs/>
                <w:color w:val="000000"/>
                <w:sz w:val="12"/>
                <w:szCs w:val="12"/>
              </w:rPr>
            </w:pPr>
            <w:r>
              <w:rPr>
                <w:b/>
                <w:bCs/>
                <w:color w:val="000000"/>
                <w:sz w:val="12"/>
                <w:szCs w:val="12"/>
              </w:rPr>
              <w:t>16 - ПОЛИТИЧКИ СИСТЕМ ЛОКАЛНЕ САМОУПРАВЕ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2101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локалној самоуправи и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Општинско веће обавља послове у оквиру надлежности прописаних Законом о локалној самоуправи и Статутом општине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Ефикасно и ефективно функционисање органа политичког система локалне самоуправе</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Проценат извршења буџета</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9</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10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24.276.410,00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24.276.410,00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РАДУ ОПШТИНСКЕ УПРАВЕ</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скупштине</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0001</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и Статут општине Ариље и Пословник о раду Со-е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Скупштина доноси опште и појединачне акте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локалне скуштине</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скупштине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14.289.360,00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14.289.360,00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о одржаним седницама Скупштине општине Ариље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Миљана Аћимовић Стефановић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сталних радних тела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15</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са седница Изборне комисије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 о локалној самоуправи и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Представља и заступа општину, наредбодавац за извршење буџета, усмерава и усклађује рад Општинске управе, информише јавност о свом раду и други послови у складу са Законом и Статутом општине Ариље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извршних органа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24</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25</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8.187.050,00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8.187.050,00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о одржаним седницама Општинског већа општине Ариље</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донетих аката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80.00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90.00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100.00</w:t>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Записници о одржаним седницама Општинског већа општине Ариље</w:t>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0002</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Закон о локалној самоуправи и статут општине Ариље</w:t>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Предлаже одлуке и друге акте које доноси СО-е, стара се о изврењу истих, доноси Одлуку о привременом финансирању, одлуцује у 2 степену у управним стварима, бира и разресава Нацелника општинске управе.</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Функционисање извршних органа</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Број седница извршних органа</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14.00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1.800.000,00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1.800.000,00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Предраг Маслар</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bookmarkStart w:id="145" w:name="_Toc17_-_ЕНЕРГЕТСКА_ЕФИКАСНОСТ_И_ОБНОВЉИ"/>
            <w:bookmarkStart w:id="146" w:name="_Toc17_-_ЕНЕРГЕТСКА_ЕФИКАСНОСТ_И_ОБНОВЉИ"/>
            <w:bookmarkEnd w:id="146"/>
          </w:p>
        </w:tc>
      </w:tr>
      <w:tr>
        <w:trPr/>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vanish/>
              </w:rPr>
            </w:pPr>
            <w:r>
              <w:fldChar w:fldCharType="begin"/>
            </w:r>
            <w:r>
              <w:rPr/>
              <w:instrText xml:space="preserve"> TC "17 - ЕНЕРГЕТСКА ЕФИКАСНОСТ И ОБНОВЉИВИ ИЗВОРИ ЕНЕРГИЈЕ" \l 1 </w:instrText>
            </w:r>
            <w:r>
              <w:rPr/>
              <w:fldChar w:fldCharType="separate"/>
            </w:r>
            <w:r>
              <w:rPr/>
            </w:r>
            <w:r>
              <w:rPr/>
              <w:fldChar w:fldCharType="end"/>
            </w:r>
          </w:p>
          <w:p>
            <w:pPr>
              <w:pStyle w:val="Normal"/>
              <w:rPr>
                <w:b/>
                <w:bCs/>
                <w:color w:val="000000"/>
                <w:sz w:val="12"/>
                <w:szCs w:val="12"/>
              </w:rPr>
            </w:pPr>
            <w:r>
              <w:rPr>
                <w:b/>
                <w:bCs/>
                <w:color w:val="000000"/>
                <w:sz w:val="12"/>
                <w:szCs w:val="12"/>
              </w:rPr>
              <w:t>17 - ЕНЕРГЕТСКА ЕФИКАСНОСТ И ОБНОВЉИВИ ИЗВОРИ ЕНЕРГИЈЕ</w:t>
            </w:r>
          </w:p>
        </w:tc>
        <w:tc>
          <w:tcPr>
            <w:tcW w:w="5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0501</w:t>
            </w:r>
          </w:p>
        </w:tc>
        <w:tc>
          <w:tcPr>
            <w:tcW w:w="1351"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Закон о коришћењу обновљивих извора нергије сл.РС 40 од 22 априла 2021 године</w:t>
            </w:r>
          </w:p>
        </w:tc>
        <w:tc>
          <w:tcPr>
            <w:tcW w:w="134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Повећање удела обновљивих извора енергије у укупној потрошњи</w:t>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Удео обновљивих извора енергије у укупној потрошњи</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2000000</w:t>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4000000</w:t>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t>4000000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2.250.000,00</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2.250.000,00</w:t>
            </w:r>
          </w:p>
        </w:tc>
        <w:tc>
          <w:tcPr>
            <w:tcW w:w="898"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2"/>
                <w:szCs w:val="12"/>
              </w:rPr>
            </w:pPr>
            <w:r>
              <w:rPr>
                <w:b/>
                <w:bCs/>
                <w:color w:val="000000"/>
                <w:sz w:val="12"/>
                <w:szCs w:val="12"/>
              </w:rPr>
              <w:t>4.500.000,00</w:t>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2"/>
                <w:szCs w:val="12"/>
              </w:rPr>
            </w:pPr>
            <w:r>
              <w:rPr>
                <w:b/>
                <w:bCs/>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center"/>
              <w:rPr>
                <w:b/>
                <w:bCs/>
                <w:color w:val="000000"/>
                <w:sz w:val="12"/>
                <w:szCs w:val="12"/>
              </w:rPr>
            </w:pPr>
            <w:r>
              <w:rPr>
                <w:b/>
                <w:bCs/>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rPr>
                <w:b/>
                <w:bCs/>
                <w:color w:val="000000"/>
                <w:sz w:val="10"/>
                <w:szCs w:val="10"/>
              </w:rPr>
            </w:pPr>
            <w:r>
              <w:rPr>
                <w:b/>
                <w:bCs/>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spacing w:lineRule="atLeast" w:line="0"/>
              <w:rPr/>
            </w:pPr>
            <w:r>
              <w:rPr/>
            </w:r>
          </w:p>
        </w:tc>
      </w:tr>
      <w:tr>
        <w:trPr/>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Енергетска санација стамбених зграда и породичних кућа</w:t>
            </w:r>
          </w:p>
        </w:tc>
        <w:tc>
          <w:tcPr>
            <w:tcW w:w="5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0501-7009</w:t>
            </w:r>
          </w:p>
        </w:tc>
        <w:tc>
          <w:tcPr>
            <w:tcW w:w="135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13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енергетска санација породичних кућа</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Смањење расхода за енергију</w:t>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укупни расходи за потрошњу енергије</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t>50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2.250.000,00</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0,00</w:t>
            </w:r>
          </w:p>
        </w:tc>
        <w:tc>
          <w:tcPr>
            <w:tcW w:w="89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2.250.000,00</w:t>
            </w: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2"/>
                <w:szCs w:val="12"/>
              </w:rPr>
            </w:pPr>
            <w:r>
              <w:rPr>
                <w:color w:val="000000"/>
                <w:sz w:val="12"/>
                <w:szCs w:val="12"/>
              </w:rPr>
              <w:t>4.500.000,00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t>ИЗВЕШТАЈ О РЕАЛИЗАЦИЈИ ПРОЈЕКТА</w:t>
            </w:r>
          </w:p>
        </w:tc>
        <w:tc>
          <w:tcPr>
            <w:tcW w:w="9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t>Сузана Цветић</w:t>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2"/>
                <w:szCs w:val="12"/>
              </w:rPr>
            </w:pPr>
            <w:r>
              <w:rPr>
                <w:color w:val="000000"/>
                <w:sz w:val="12"/>
                <w:szCs w:val="12"/>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r>
        <w:trPr/>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5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51"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34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15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4"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2"/>
                <w:szCs w:val="12"/>
              </w:rPr>
            </w:pPr>
            <w:r>
              <w:rPr>
                <w:color w:val="000000"/>
                <w:sz w:val="12"/>
                <w:szCs w:val="12"/>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8"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0"/>
                <w:szCs w:val="10"/>
              </w:rPr>
            </w:pPr>
            <w:r>
              <w:rPr>
                <w:color w:val="000000"/>
                <w:sz w:val="10"/>
                <w:szCs w:val="10"/>
              </w:rPr>
            </w:r>
          </w:p>
        </w:tc>
        <w:tc>
          <w:tcPr>
            <w:tcW w:w="900" w:type="dxa"/>
            <w:vMerge w:val="continue"/>
            <w:tcBorders>
              <w:top w:val="single" w:sz="6" w:space="0" w:color="000000"/>
              <w:left w:val="single" w:sz="6" w:space="0" w:color="000000"/>
              <w:bottom w:val="single" w:sz="6" w:space="0" w:color="000000"/>
              <w:right w:val="single" w:sz="6" w:space="0" w:color="000000"/>
            </w:tcBorders>
            <w:vAlign w:val="center"/>
          </w:tcPr>
          <w:p>
            <w:pPr>
              <w:pStyle w:val="Normal"/>
              <w:spacing w:lineRule="atLeast" w:line="0"/>
              <w:rPr/>
            </w:pPr>
            <w:r>
              <w:rPr/>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47" w:name="__bookmark_54"/>
            <w:bookmarkStart w:id="148" w:name="__bookmark_54"/>
            <w:bookmarkEnd w:id="148"/>
          </w:p>
          <w:p>
            <w:pPr>
              <w:pStyle w:val="Normal"/>
              <w:spacing w:lineRule="atLeast" w:line="0"/>
              <w:rPr/>
            </w:pPr>
            <w:r>
              <w:rPr/>
            </w:r>
          </w:p>
        </w:tc>
      </w:tr>
    </w:tbl>
    <w:p>
      <w:pPr>
        <w:sectPr>
          <w:headerReference w:type="default" r:id="rId32"/>
          <w:headerReference w:type="first" r:id="rId33"/>
          <w:footerReference w:type="default" r:id="rId34"/>
          <w:footerReference w:type="first" r:id="rId35"/>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49" w:name="__bookmark_58"/>
      <w:bookmarkStart w:id="150" w:name="__bookmark_58"/>
      <w:bookmarkEnd w:id="150"/>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7417"/>
        <w:gridCol w:w="1650"/>
        <w:gridCol w:w="1651"/>
        <w:gridCol w:w="1650"/>
        <w:gridCol w:w="1649"/>
        <w:gridCol w:w="1200"/>
      </w:tblGrid>
      <w:tr>
        <w:trPr>
          <w:tblHeader w:val="true"/>
          <w:trHeight w:val="230" w:hRule="atLeast"/>
        </w:trPr>
        <w:tc>
          <w:tcPr>
            <w:tcW w:w="16116" w:type="dxa"/>
            <w:gridSpan w:val="7"/>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c>
                <w:tcPr>
                  <w:tcW w:w="5808" w:type="dxa"/>
                  <w:tcBorders/>
                </w:tcPr>
                <w:p>
                  <w:pPr>
                    <w:pStyle w:val="Normal"/>
                    <w:spacing w:lineRule="atLeast" w:line="0"/>
                    <w:jc w:val="center"/>
                    <w:rPr/>
                  </w:pPr>
                  <w:r>
                    <w:rPr/>
                  </w:r>
                </w:p>
              </w:tc>
              <w:tc>
                <w:tcPr>
                  <w:tcW w:w="4500" w:type="dxa"/>
                  <w:tcBorders/>
                </w:tcPr>
                <w:p>
                  <w:pPr>
                    <w:pStyle w:val="Normal"/>
                    <w:jc w:val="center"/>
                    <w:rPr>
                      <w:b/>
                      <w:bCs/>
                      <w:color w:val="000000"/>
                      <w:sz w:val="24"/>
                      <w:szCs w:val="24"/>
                    </w:rPr>
                  </w:pPr>
                  <w:r>
                    <w:rPr>
                      <w:b/>
                      <w:bCs/>
                      <w:color w:val="000000"/>
                      <w:sz w:val="24"/>
                      <w:szCs w:val="24"/>
                    </w:rPr>
                    <w:t>ПЛАН ПРИХОДА</w:t>
                  </w:r>
                </w:p>
              </w:tc>
              <w:tc>
                <w:tcPr>
                  <w:tcW w:w="5809" w:type="dxa"/>
                  <w:tcBorders/>
                </w:tcPr>
                <w:p>
                  <w:pPr>
                    <w:pStyle w:val="Normal"/>
                    <w:spacing w:lineRule="atLeast" w:line="0"/>
                    <w:jc w:val="center"/>
                    <w:rPr/>
                  </w:pPr>
                  <w:r>
                    <w:rPr/>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sz w:val="16"/>
                      <w:szCs w:val="16"/>
                    </w:rPr>
                  </w:pPr>
                  <w:r>
                    <w:rPr>
                      <w:b/>
                      <w:bCs/>
                      <w:color w:val="000000"/>
                      <w:sz w:val="16"/>
                      <w:szCs w:val="16"/>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300" w:hRule="exact"/>
        </w:trPr>
        <w:tc>
          <w:tcPr>
            <w:tcW w:w="16116" w:type="dxa"/>
            <w:gridSpan w:val="7"/>
            <w:tcBorders/>
          </w:tcPr>
          <w:p>
            <w:pPr>
              <w:pStyle w:val="Normal"/>
              <w:spacing w:lineRule="atLeast" w:line="0"/>
              <w:jc w:val="center"/>
              <w:rPr/>
            </w:pPr>
            <w:r>
              <w:rPr/>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7417"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2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1</w:t>
            </w:r>
          </w:p>
        </w:tc>
        <w:tc>
          <w:tcPr>
            <w:tcW w:w="7417"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3</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4</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5</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6</w:t>
            </w:r>
          </w:p>
        </w:tc>
        <w:tc>
          <w:tcPr>
            <w:tcW w:w="12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"0" \l 1 </w:instrText>
            </w:r>
            <w:r>
              <w:rPr/>
              <w:fldChar w:fldCharType="separate"/>
            </w:r>
            <w:r>
              <w:rPr/>
            </w:r>
            <w:r>
              <w:rPr/>
              <w:fldChar w:fldCharType="end"/>
            </w:r>
            <w:bookmarkStart w:id="151" w:name="_Toc311000"/>
          </w:p>
          <w:p>
            <w:pPr>
              <w:pStyle w:val="Normal"/>
              <w:rPr>
                <w:vanish/>
              </w:rPr>
            </w:pPr>
            <w:r>
              <w:fldChar w:fldCharType="begin"/>
            </w:r>
            <w:r>
              <w:rPr/>
              <w:instrText xml:space="preserve"> TC "311000" \l 1 </w:instrText>
            </w:r>
            <w:r>
              <w:rPr/>
              <w:fldChar w:fldCharType="separate"/>
            </w:r>
            <w:bookmarkEnd w:id="151"/>
            <w:r>
              <w:rPr/>
            </w:r>
            <w:r>
              <w:rPr/>
              <w:fldChar w:fldCharType="end"/>
            </w:r>
          </w:p>
          <w:p>
            <w:pPr>
              <w:pStyle w:val="Normal"/>
              <w:jc w:val="center"/>
              <w:rPr>
                <w:color w:val="000000"/>
                <w:sz w:val="16"/>
                <w:szCs w:val="16"/>
              </w:rPr>
            </w:pPr>
            <w:r>
              <w:rPr>
                <w:color w:val="000000"/>
                <w:sz w:val="16"/>
                <w:szCs w:val="16"/>
              </w:rPr>
              <w:t>311712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Пренета неутрошена средства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72.250.000,00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7,29</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311000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КАПИТАЛ</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72.250.000,00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72.250.000,00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7,29</w:t>
            </w:r>
            <w:bookmarkStart w:id="152" w:name="_Toc321000"/>
            <w:bookmarkEnd w:id="152"/>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"321000" \l 1 </w:instrText>
            </w:r>
            <w:r>
              <w:rPr/>
              <w:fldChar w:fldCharType="separate"/>
            </w:r>
            <w:r>
              <w:rPr/>
            </w:r>
            <w:r>
              <w:rPr/>
              <w:fldChar w:fldCharType="end"/>
            </w:r>
          </w:p>
          <w:p>
            <w:pPr>
              <w:pStyle w:val="Normal"/>
              <w:jc w:val="center"/>
              <w:rPr>
                <w:color w:val="000000"/>
                <w:sz w:val="16"/>
                <w:szCs w:val="16"/>
              </w:rPr>
            </w:pPr>
            <w:r>
              <w:rPr>
                <w:color w:val="000000"/>
                <w:sz w:val="16"/>
                <w:szCs w:val="16"/>
              </w:rPr>
              <w:t>321311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Нераспоређени вишак прихода и примања из ранијих година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321000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УТВРЂИВАЊЕ РЕЗУЛТАТА ПОСЛОВАЊА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1,72</w:t>
            </w:r>
            <w:bookmarkStart w:id="153" w:name="_Toc711000"/>
            <w:bookmarkEnd w:id="153"/>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"711000" \l 1 </w:instrText>
            </w:r>
            <w:r>
              <w:rPr/>
              <w:fldChar w:fldCharType="separate"/>
            </w:r>
            <w:r>
              <w:rPr/>
            </w:r>
            <w:r>
              <w:rPr/>
              <w:fldChar w:fldCharType="end"/>
            </w:r>
          </w:p>
          <w:p>
            <w:pPr>
              <w:pStyle w:val="Normal"/>
              <w:jc w:val="center"/>
              <w:rPr>
                <w:color w:val="000000"/>
                <w:sz w:val="16"/>
                <w:szCs w:val="16"/>
              </w:rPr>
            </w:pPr>
            <w:r>
              <w:rPr>
                <w:color w:val="000000"/>
                <w:sz w:val="16"/>
                <w:szCs w:val="16"/>
              </w:rPr>
              <w:t>711111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зараде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390.865.000,00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390.865.000,00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39,43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711121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самосталних делатности који се плаћа према паушално утврђеном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711123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самоопорезивањем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73.000.000,00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7,36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711143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непокретности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711145</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од давања у закуп покретних ствари - по основу самоопорезивања 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532.600,00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532.600,00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711147</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711181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Самодопринос према зарадама запослених и по основу пензија на територији месне заједнице и општине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711183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Самодопринос из прихода од пољопривреде и шумарства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1.416.000,00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711184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Самодопринос из прихода лица која се баве самосталном делатношћу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711191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остале приходе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711193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приходе спортиста и спортских стручњака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3.974.000,00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3.974.000,00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ДОХОДАК, ДОБИТ И КАПИТАЛНЕ ДОБИТКЕ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522.951.600,00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522.951.600,00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52,76</w:t>
            </w:r>
            <w:bookmarkStart w:id="154" w:name="_Toc712000"/>
            <w:bookmarkEnd w:id="154"/>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"712000" \l 1 </w:instrText>
            </w:r>
            <w:r>
              <w:rPr/>
              <w:fldChar w:fldCharType="separate"/>
            </w:r>
            <w:r>
              <w:rPr/>
            </w:r>
            <w:r>
              <w:rPr/>
              <w:fldChar w:fldCharType="end"/>
            </w:r>
          </w:p>
          <w:p>
            <w:pPr>
              <w:pStyle w:val="Normal"/>
              <w:jc w:val="center"/>
              <w:rPr>
                <w:color w:val="000000"/>
                <w:sz w:val="16"/>
                <w:szCs w:val="16"/>
              </w:rPr>
            </w:pPr>
            <w:r>
              <w:rPr>
                <w:color w:val="000000"/>
                <w:sz w:val="16"/>
                <w:szCs w:val="16"/>
              </w:rPr>
              <w:t>712112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фонд зарада осталих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ФОНД ЗАРАДА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155" w:name="_Toc713000"/>
            <w:bookmarkEnd w:id="155"/>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"713000" \l 1 </w:instrText>
            </w:r>
            <w:r>
              <w:rPr/>
              <w:fldChar w:fldCharType="separate"/>
            </w:r>
            <w:r>
              <w:rPr/>
            </w:r>
            <w:r>
              <w:rPr/>
              <w:fldChar w:fldCharType="end"/>
            </w:r>
          </w:p>
          <w:p>
            <w:pPr>
              <w:pStyle w:val="Normal"/>
              <w:jc w:val="center"/>
              <w:rPr>
                <w:color w:val="000000"/>
                <w:sz w:val="16"/>
                <w:szCs w:val="16"/>
              </w:rPr>
            </w:pPr>
            <w:r>
              <w:rPr>
                <w:color w:val="000000"/>
                <w:sz w:val="16"/>
                <w:szCs w:val="16"/>
              </w:rPr>
              <w:t>713121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имовину обвезника који не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713122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имовину обвезника који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713311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наслеђе и поклон,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пренос апсолутних права на непокретности,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пренос апсолутних права на акцијама и другим хартијама од вредности,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пренос апсолутних права на моторним возилима, пловилима и ваздухопловима,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713427</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на пренос апсолутних права на употребљаваним моторним возилима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713611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 на акције на име и уделе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713000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ИМОВИНУ</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121.841.000,00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121.841.000,00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12,29</w:t>
            </w:r>
            <w:bookmarkStart w:id="156" w:name="_Toc714000"/>
            <w:bookmarkEnd w:id="156"/>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"714000" \l 1 </w:instrText>
            </w:r>
            <w:r>
              <w:rPr/>
              <w:fldChar w:fldCharType="separate"/>
            </w:r>
            <w:r>
              <w:rPr/>
            </w:r>
            <w:r>
              <w:rPr/>
              <w:fldChar w:fldCharType="end"/>
            </w:r>
          </w:p>
          <w:p>
            <w:pPr>
              <w:pStyle w:val="Normal"/>
              <w:jc w:val="center"/>
              <w:rPr>
                <w:color w:val="000000"/>
                <w:sz w:val="16"/>
                <w:szCs w:val="16"/>
              </w:rPr>
            </w:pPr>
            <w:r>
              <w:rPr>
                <w:color w:val="000000"/>
                <w:sz w:val="16"/>
                <w:szCs w:val="16"/>
              </w:rPr>
              <w:t>714513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Комунална такса за држање моторних друмских и прикључних возила, осим пољопривредних возила и машина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714543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промену намене пољопривредног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714548</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супстанце које оштећују озонски омотач и накнада за пластичне полиетиленске кесе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Боравишна такса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Боравишна такса, по решењу надлежног органа јединице локалне самоуправе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193.000,00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заштиту и унапређивање животне средине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13.500.000,00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714565</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714567</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јавне површине по основу заузећа грађевинским материјалом и за извођење грађевинских радова и изградњу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714000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ПОРЕЗ НА ДОБРА И УСЛУГЕ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43.536.500,00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43.536.500,00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4,39</w:t>
            </w:r>
            <w:bookmarkStart w:id="157" w:name="_Toc716000"/>
            <w:bookmarkEnd w:id="157"/>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"716000" \l 1 </w:instrText>
            </w:r>
            <w:r>
              <w:rPr/>
              <w:fldChar w:fldCharType="separate"/>
            </w:r>
            <w:r>
              <w:rPr/>
            </w:r>
            <w:r>
              <w:rPr/>
              <w:fldChar w:fldCharType="end"/>
            </w:r>
          </w:p>
          <w:p>
            <w:pPr>
              <w:pStyle w:val="Normal"/>
              <w:jc w:val="center"/>
              <w:rPr>
                <w:color w:val="000000"/>
                <w:sz w:val="16"/>
                <w:szCs w:val="16"/>
              </w:rPr>
            </w:pPr>
            <w:r>
              <w:rPr>
                <w:color w:val="000000"/>
                <w:sz w:val="16"/>
                <w:szCs w:val="16"/>
              </w:rPr>
              <w:t>716111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Комунална такса за истицање фирме на пословном простору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43.500.000,00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4,39</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716000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ДРУГИ ПОРЕЗИ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43.500.000,00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4,39</w:t>
            </w:r>
            <w:bookmarkStart w:id="158" w:name="_Toc732000"/>
            <w:bookmarkEnd w:id="158"/>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"732000" \l 1 </w:instrText>
            </w:r>
            <w:r>
              <w:rPr/>
              <w:fldChar w:fldCharType="separate"/>
            </w:r>
            <w:r>
              <w:rPr/>
            </w:r>
            <w:r>
              <w:rPr/>
              <w:fldChar w:fldCharType="end"/>
            </w:r>
          </w:p>
          <w:p>
            <w:pPr>
              <w:pStyle w:val="Normal"/>
              <w:jc w:val="center"/>
              <w:rPr>
                <w:color w:val="000000"/>
                <w:sz w:val="16"/>
                <w:szCs w:val="16"/>
              </w:rPr>
            </w:pPr>
            <w:r>
              <w:rPr>
                <w:color w:val="000000"/>
                <w:sz w:val="16"/>
                <w:szCs w:val="16"/>
              </w:rPr>
              <w:t>732151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донације од међународних организација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7.809.200,00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7.809.200,00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0,79</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732000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ДОНАЦИЈЕ И ПОМОЋИ ОД МЕЂУНАРОДНИХ ОРГАНИЗАЦИЈА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7.809.200,00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7.809.200,00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0,79</w:t>
            </w:r>
            <w:bookmarkStart w:id="159" w:name="_Toc733000"/>
            <w:bookmarkEnd w:id="159"/>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"733000" \l 1 </w:instrText>
            </w:r>
            <w:r>
              <w:rPr/>
              <w:fldChar w:fldCharType="separate"/>
            </w:r>
            <w:r>
              <w:rPr/>
            </w:r>
            <w:r>
              <w:rPr/>
              <w:fldChar w:fldCharType="end"/>
            </w:r>
          </w:p>
          <w:p>
            <w:pPr>
              <w:pStyle w:val="Normal"/>
              <w:jc w:val="center"/>
              <w:rPr>
                <w:color w:val="000000"/>
                <w:sz w:val="16"/>
                <w:szCs w:val="16"/>
              </w:rPr>
            </w:pPr>
            <w:r>
              <w:rPr>
                <w:color w:val="000000"/>
                <w:sz w:val="16"/>
                <w:szCs w:val="16"/>
              </w:rPr>
              <w:t>733151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Ненаменски трансфери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91.032.672,00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91.032.672,00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9,18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733154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наменски трансфери, у ужем смислу,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6.654.165,00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6.654.165,00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0,67</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733000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ТРАНСФЕРИ ОД ДРУГИХ НИВОА ВЛАСТИ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91.032.672,00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6.654.165,00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97.686.837,00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9,86</w:t>
            </w:r>
            <w:bookmarkStart w:id="160" w:name="_Toc741000"/>
            <w:bookmarkEnd w:id="160"/>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"741000" \l 1 </w:instrText>
            </w:r>
            <w:r>
              <w:rPr/>
              <w:fldChar w:fldCharType="separate"/>
            </w:r>
            <w:r>
              <w:rPr/>
            </w:r>
            <w:r>
              <w:rPr/>
              <w:fldChar w:fldCharType="end"/>
            </w:r>
          </w:p>
          <w:p>
            <w:pPr>
              <w:pStyle w:val="Normal"/>
              <w:jc w:val="center"/>
              <w:rPr>
                <w:color w:val="000000"/>
                <w:sz w:val="16"/>
                <w:szCs w:val="16"/>
              </w:rPr>
            </w:pPr>
            <w:r>
              <w:rPr>
                <w:color w:val="000000"/>
                <w:sz w:val="16"/>
                <w:szCs w:val="16"/>
              </w:rPr>
              <w:t>741151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буџета општине од камата на средства консолидованог рачуна трезора укључена у депозит банака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14.954.296,00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14.954.296,00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741414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 од имовине који припада имаоцима полисе осигурања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741522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остварена од давања у закуп пољопривредног земљишта, односно пољопривредног објекта у државној својини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741526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од давања на коришћење пољопривредног земљиста у дрзавној својини у непољопривредне сврхе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741531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Комунална такса за коришћење простора на јавним површинама или испред пословног простора у пословне сврхе, осим ради продаје штампе, књига и других публикација, производа старих и уметничких заната и домаће радиности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741534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360.000,00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741538</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741596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коришћење дрвета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ПРИХОДИ ОД ИМОВИНЕ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18.084.896,00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18.084.896,00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1,82</w:t>
            </w:r>
            <w:bookmarkStart w:id="161" w:name="_Toc742000"/>
            <w:bookmarkEnd w:id="161"/>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"742000" \l 1 </w:instrText>
            </w:r>
            <w:r>
              <w:rPr/>
              <w:fldChar w:fldCharType="separate"/>
            </w:r>
            <w:r>
              <w:rPr/>
            </w:r>
            <w:r>
              <w:rPr/>
              <w:fldChar w:fldCharType="end"/>
            </w:r>
          </w:p>
          <w:p>
            <w:pPr>
              <w:pStyle w:val="Normal"/>
              <w:jc w:val="center"/>
              <w:rPr>
                <w:color w:val="000000"/>
                <w:sz w:val="16"/>
                <w:szCs w:val="16"/>
              </w:rPr>
            </w:pPr>
            <w:r>
              <w:rPr>
                <w:color w:val="000000"/>
                <w:sz w:val="16"/>
                <w:szCs w:val="16"/>
              </w:rPr>
              <w:t>742152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од давања у закуп, односно на коришћење непокретности у државној својини које користе општине и индиректни корисници њиховог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742153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од закупнине за грађевинско земљиште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711.000,00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742154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по основу конверзије права коришћења у право својине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742156</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остварени по основу пружања услуга боравка деце у предшколским установама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Општинске административне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742255</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Такса за озакоњење објеката у корист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742351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које својом делатношћу остваре органи и организације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742352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које својом делатношћу остваре установе културе на нивоу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512.000,00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742353</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које остварују индиректни корисници буџетских средстава на нивоу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1.925.000,00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ПРИХОДИ ОД ПРОДАЈЕ ДОБАРА И УСЛУГА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30.407.000,00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1.112.000,00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1.325.000,00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32.844.000,00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3,31</w:t>
            </w:r>
            <w:bookmarkStart w:id="162" w:name="_Toc743000"/>
            <w:bookmarkEnd w:id="162"/>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"743000" \l 1 </w:instrText>
            </w:r>
            <w:r>
              <w:rPr/>
              <w:fldChar w:fldCharType="separate"/>
            </w:r>
            <w:r>
              <w:rPr/>
            </w:r>
            <w:r>
              <w:rPr/>
              <w:fldChar w:fldCharType="end"/>
            </w:r>
          </w:p>
          <w:p>
            <w:pPr>
              <w:pStyle w:val="Normal"/>
              <w:jc w:val="center"/>
              <w:rPr>
                <w:color w:val="000000"/>
                <w:sz w:val="16"/>
                <w:szCs w:val="16"/>
              </w:rPr>
            </w:pPr>
            <w:r>
              <w:rPr>
                <w:color w:val="000000"/>
                <w:sz w:val="16"/>
                <w:szCs w:val="16"/>
              </w:rPr>
              <w:t>743351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Приходи од новчаних казни изречених у прекршајном поступку за прекршаје прописане актом скупштине општине, као и одузета имовинска корист у том поступку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743924</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Увећање пореског дуга у поступку принудне наплате, који је правна последица принудне наплате изворних прихода јединица локалне самоуправе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29.700,00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29.700,00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743000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НОВЧАНЕ КАЗНЕ И ОДУЗЕТА ИМОВИНСКА КОРИСТ</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122.700,00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122.700,00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bookmarkStart w:id="163" w:name="_Toc744000"/>
            <w:bookmarkEnd w:id="163"/>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"744000" \l 1 </w:instrText>
            </w:r>
            <w:r>
              <w:rPr/>
              <w:fldChar w:fldCharType="separate"/>
            </w:r>
            <w:r>
              <w:rPr/>
            </w:r>
            <w:r>
              <w:rPr/>
              <w:fldChar w:fldCharType="end"/>
            </w:r>
          </w:p>
          <w:p>
            <w:pPr>
              <w:pStyle w:val="Normal"/>
              <w:jc w:val="center"/>
              <w:rPr>
                <w:color w:val="000000"/>
                <w:sz w:val="16"/>
                <w:szCs w:val="16"/>
              </w:rPr>
            </w:pPr>
            <w:r>
              <w:rPr>
                <w:color w:val="000000"/>
                <w:sz w:val="16"/>
                <w:szCs w:val="16"/>
              </w:rPr>
              <w:t>744151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добровољни трансфери од физичких и правних лица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744251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Капитални добровољни трансфери од физичких и правних лица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1,11</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744000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ДОБРОВОЉНИ ТРАНСФЕРИ ОД ФИЗИЧКИХ И ПРАВНИХ ЛИЦА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11.900.000,00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w:t>
            </w:r>
            <w:bookmarkStart w:id="164" w:name="_Toc745000"/>
            <w:bookmarkEnd w:id="164"/>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"745000" \l 1 </w:instrText>
            </w:r>
            <w:r>
              <w:rPr/>
              <w:fldChar w:fldCharType="separate"/>
            </w:r>
            <w:r>
              <w:rPr/>
            </w:r>
            <w:r>
              <w:rPr/>
              <w:fldChar w:fldCharType="end"/>
            </w:r>
          </w:p>
          <w:p>
            <w:pPr>
              <w:pStyle w:val="Normal"/>
              <w:jc w:val="center"/>
              <w:rPr>
                <w:color w:val="000000"/>
                <w:sz w:val="16"/>
                <w:szCs w:val="16"/>
              </w:rPr>
            </w:pPr>
            <w:r>
              <w:rPr>
                <w:color w:val="000000"/>
                <w:sz w:val="16"/>
                <w:szCs w:val="16"/>
              </w:rPr>
              <w:t>745151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приходи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745000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МЕШОВИТИ И НЕОДРЕЂЕНИ ПРИХОДИ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bookmarkStart w:id="165" w:name="_Toc772000"/>
            <w:bookmarkEnd w:id="165"/>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"772000" \l 1 </w:instrText>
            </w:r>
            <w:r>
              <w:rPr/>
              <w:fldChar w:fldCharType="separate"/>
            </w:r>
            <w:r>
              <w:rPr/>
            </w:r>
            <w:r>
              <w:rPr/>
              <w:fldChar w:fldCharType="end"/>
            </w:r>
          </w:p>
          <w:p>
            <w:pPr>
              <w:pStyle w:val="Normal"/>
              <w:jc w:val="center"/>
              <w:rPr>
                <w:color w:val="000000"/>
                <w:sz w:val="16"/>
                <w:szCs w:val="16"/>
              </w:rPr>
            </w:pPr>
            <w:r>
              <w:rPr>
                <w:color w:val="000000"/>
                <w:sz w:val="16"/>
                <w:szCs w:val="16"/>
              </w:rPr>
              <w:t>772111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Меморандумске ставке за рефундацију расхода буџета Републике из претходне године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772000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МЕМОРАНДУМСКЕ СТАВКЕ ЗА РЕФУНДАЦИЈУ РАСХОДА ИЗ ПРЕТХОДНЕ ГОДИНЕ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320.000,00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bookmarkStart w:id="166" w:name="_Toc811000"/>
            <w:bookmarkEnd w:id="166"/>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"811000" \l 1 </w:instrText>
            </w:r>
            <w:r>
              <w:rPr/>
              <w:fldChar w:fldCharType="separate"/>
            </w:r>
            <w:r>
              <w:rPr/>
            </w:r>
            <w:r>
              <w:rPr/>
              <w:fldChar w:fldCharType="end"/>
            </w:r>
          </w:p>
          <w:p>
            <w:pPr>
              <w:pStyle w:val="Normal"/>
              <w:jc w:val="center"/>
              <w:rPr>
                <w:color w:val="000000"/>
                <w:sz w:val="16"/>
                <w:szCs w:val="16"/>
              </w:rPr>
            </w:pPr>
            <w:r>
              <w:rPr>
                <w:color w:val="000000"/>
                <w:sz w:val="16"/>
                <w:szCs w:val="16"/>
              </w:rPr>
              <w:t>811151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непокретности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811152</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станова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811000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ПРИМАЊА ОД ПРОДАЈЕ НЕПОКРЕТНОСТИ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bookmarkStart w:id="167" w:name="_Toc812000"/>
            <w:bookmarkEnd w:id="167"/>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"812000" \l 1 </w:instrText>
            </w:r>
            <w:r>
              <w:rPr/>
              <w:fldChar w:fldCharType="separate"/>
            </w:r>
            <w:r>
              <w:rPr/>
            </w:r>
            <w:r>
              <w:rPr/>
              <w:fldChar w:fldCharType="end"/>
            </w:r>
          </w:p>
          <w:p>
            <w:pPr>
              <w:pStyle w:val="Normal"/>
              <w:jc w:val="center"/>
              <w:rPr>
                <w:color w:val="000000"/>
                <w:sz w:val="16"/>
                <w:szCs w:val="16"/>
              </w:rPr>
            </w:pPr>
            <w:r>
              <w:rPr>
                <w:color w:val="000000"/>
                <w:sz w:val="16"/>
                <w:szCs w:val="16"/>
              </w:rPr>
              <w:t>812151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покретних ствари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812000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ПРИМАЊА ОД ПРОДАЈЕ ПОКРЕТНЕ ИМОВИНЕ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bookmarkStart w:id="168" w:name="_Toc841000"/>
            <w:bookmarkEnd w:id="168"/>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"841000" \l 1 </w:instrText>
            </w:r>
            <w:r>
              <w:rPr/>
              <w:fldChar w:fldCharType="separate"/>
            </w:r>
            <w:r>
              <w:rPr/>
            </w:r>
            <w:r>
              <w:rPr/>
              <w:fldChar w:fldCharType="end"/>
            </w:r>
          </w:p>
          <w:p>
            <w:pPr>
              <w:pStyle w:val="Normal"/>
              <w:jc w:val="center"/>
              <w:rPr>
                <w:color w:val="000000"/>
                <w:sz w:val="16"/>
                <w:szCs w:val="16"/>
              </w:rPr>
            </w:pPr>
            <w:r>
              <w:rPr>
                <w:color w:val="000000"/>
                <w:sz w:val="16"/>
                <w:szCs w:val="16"/>
              </w:rPr>
              <w:t>841151</w:t>
            </w:r>
          </w:p>
        </w:tc>
        <w:tc>
          <w:tcPr>
            <w:tcW w:w="7417"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Примања од продаје земљишта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20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841000</w:t>
            </w:r>
          </w:p>
        </w:tc>
        <w:tc>
          <w:tcPr>
            <w:tcW w:w="7417"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ПРИМАЊА ОД ПРОДАЈЕ ЗЕМЉИШТА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w:t>
            </w:r>
          </w:p>
        </w:tc>
        <w:tc>
          <w:tcPr>
            <w:tcW w:w="120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0,06</w:t>
            </w:r>
          </w:p>
        </w:tc>
      </w:tr>
      <w:tr>
        <w:trPr/>
        <w:tc>
          <w:tcPr>
            <w:tcW w:w="8316"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875.756.368,00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1.112.000,00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114.338.365,00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991.206.733,00</w:t>
            </w:r>
          </w:p>
        </w:tc>
        <w:tc>
          <w:tcPr>
            <w:tcW w:w="12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69" w:name="__bookmark_59"/>
            <w:bookmarkStart w:id="170" w:name="__bookmark_59"/>
            <w:bookmarkEnd w:id="170"/>
          </w:p>
          <w:p>
            <w:pPr>
              <w:pStyle w:val="Normal"/>
              <w:spacing w:lineRule="atLeast" w:line="0"/>
              <w:rPr/>
            </w:pPr>
            <w:r>
              <w:rPr/>
            </w:r>
          </w:p>
        </w:tc>
      </w:tr>
    </w:tbl>
    <w:p>
      <w:pPr>
        <w:sectPr>
          <w:headerReference w:type="default" r:id="rId36"/>
          <w:headerReference w:type="first" r:id="rId37"/>
          <w:footerReference w:type="default" r:id="rId38"/>
          <w:footerReference w:type="first" r:id="rId39"/>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71" w:name="__bookmark_63"/>
      <w:bookmarkStart w:id="172" w:name="__bookmark_63"/>
      <w:bookmarkEnd w:id="172"/>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7643"/>
        <w:gridCol w:w="1650"/>
        <w:gridCol w:w="1650"/>
        <w:gridCol w:w="1649"/>
        <w:gridCol w:w="1650"/>
        <w:gridCol w:w="975"/>
      </w:tblGrid>
      <w:tr>
        <w:trPr>
          <w:tblHeader w:val="true"/>
          <w:trHeight w:val="230" w:hRule="atLeast"/>
        </w:trPr>
        <w:tc>
          <w:tcPr>
            <w:tcW w:w="16116" w:type="dxa"/>
            <w:gridSpan w:val="7"/>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c>
                <w:tcPr>
                  <w:tcW w:w="5808" w:type="dxa"/>
                  <w:tcBorders/>
                </w:tcPr>
                <w:p>
                  <w:pPr>
                    <w:pStyle w:val="Normal"/>
                    <w:spacing w:lineRule="atLeast" w:line="0"/>
                    <w:jc w:val="center"/>
                    <w:rPr/>
                  </w:pPr>
                  <w:r>
                    <w:rPr/>
                  </w:r>
                </w:p>
              </w:tc>
              <w:tc>
                <w:tcPr>
                  <w:tcW w:w="4500" w:type="dxa"/>
                  <w:tcBorders/>
                </w:tcPr>
                <w:p>
                  <w:pPr>
                    <w:pStyle w:val="Normal"/>
                    <w:jc w:val="center"/>
                    <w:rPr>
                      <w:b/>
                      <w:bCs/>
                      <w:color w:val="000000"/>
                      <w:sz w:val="24"/>
                      <w:szCs w:val="24"/>
                    </w:rPr>
                  </w:pPr>
                  <w:r>
                    <w:rPr>
                      <w:b/>
                      <w:bCs/>
                      <w:color w:val="000000"/>
                      <w:sz w:val="24"/>
                      <w:szCs w:val="24"/>
                    </w:rPr>
                    <w:t>ИЗДАЦИ БУЏЕТА ПО НАМЕНАМА</w:t>
                  </w:r>
                </w:p>
              </w:tc>
              <w:tc>
                <w:tcPr>
                  <w:tcW w:w="5809" w:type="dxa"/>
                  <w:tcBorders/>
                </w:tcPr>
                <w:p>
                  <w:pPr>
                    <w:pStyle w:val="Normal"/>
                    <w:spacing w:lineRule="atLeast" w:line="0"/>
                    <w:jc w:val="center"/>
                    <w:rPr/>
                  </w:pPr>
                  <w:r>
                    <w:rPr/>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rPr>
                  </w:pPr>
                  <w:r>
                    <w:rPr>
                      <w:b/>
                      <w:bCs/>
                      <w:color w:val="000000"/>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225" w:hRule="exact"/>
        </w:trPr>
        <w:tc>
          <w:tcPr>
            <w:tcW w:w="16116" w:type="dxa"/>
            <w:gridSpan w:val="7"/>
            <w:tcBorders>
              <w:bottom w:val="single" w:sz="6" w:space="0" w:color="000000"/>
            </w:tcBorders>
          </w:tcPr>
          <w:p>
            <w:pPr>
              <w:pStyle w:val="Normal"/>
              <w:spacing w:lineRule="atLeast" w:line="0"/>
              <w:jc w:val="center"/>
              <w:rPr/>
            </w:pPr>
            <w:r>
              <w:rPr/>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7643"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blHeader w:val="true"/>
        </w:trPr>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1</w:t>
            </w:r>
          </w:p>
        </w:tc>
        <w:tc>
          <w:tcPr>
            <w:tcW w:w="7643"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3</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5</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6</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"0 БУЏЕТ ОПШТИНЕ АРИЉЕ" \l 1 </w:instrText>
            </w:r>
            <w:r>
              <w:rPr/>
              <w:fldChar w:fldCharType="separate"/>
            </w:r>
            <w:r>
              <w:rPr/>
            </w:r>
            <w:r>
              <w:rPr/>
              <w:fldChar w:fldCharType="end"/>
            </w:r>
            <w:bookmarkStart w:id="173" w:name="_Toc410000_РАСХОДИ_ЗА_ЗАПОСЛЕНЕ"/>
          </w:p>
          <w:p>
            <w:pPr>
              <w:pStyle w:val="Normal"/>
              <w:rPr>
                <w:vanish/>
              </w:rPr>
            </w:pPr>
            <w:r>
              <w:fldChar w:fldCharType="begin"/>
            </w:r>
            <w:r>
              <w:rPr/>
              <w:instrText xml:space="preserve"> TC "410000 РАСХОДИ ЗА ЗАПОСЛЕНЕ" \l 1 </w:instrText>
            </w:r>
            <w:r>
              <w:rPr/>
              <w:fldChar w:fldCharType="separate"/>
            </w:r>
            <w:bookmarkEnd w:id="173"/>
            <w:r>
              <w:rPr/>
            </w:r>
            <w:r>
              <w:rPr/>
              <w:fldChar w:fldCharType="end"/>
            </w:r>
          </w:p>
          <w:p>
            <w:pPr>
              <w:pStyle w:val="Normal"/>
              <w:jc w:val="center"/>
              <w:rPr>
                <w:color w:val="000000"/>
                <w:sz w:val="16"/>
                <w:szCs w:val="16"/>
              </w:rPr>
            </w:pPr>
            <w:r>
              <w:rPr>
                <w:color w:val="000000"/>
                <w:sz w:val="16"/>
                <w:szCs w:val="16"/>
              </w:rPr>
              <w:t>411000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222.134.710,00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5.778.693,00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227.913.403,00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33.653.170,00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875.472,00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34.528.642,00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1.921.000,00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6.442.000,00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6.442.000,00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8.530.000,00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0,32</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410000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РАСХОДИ ЗА ЗАПОСЛЕНЕ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275.809.880,00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6.654.165,00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282.535.045,00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28,50</w:t>
            </w:r>
            <w:bookmarkStart w:id="174" w:name="_Toc420000_КОРИШЋЕЊЕ_УСЛУГА_И_РОБА"/>
            <w:bookmarkEnd w:id="174"/>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"420000 КОРИШЋЕЊЕ УСЛУГА И РОБА"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81.692.000,00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82.317.000,00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2.632.000,00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37.627.000,00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2.997.600,00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40.674.600,00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47.880.000,00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48.030.000,00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38.325.000,00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40.325.000,00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4,07</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33.093.000,00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33.673.000,00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420000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КОРИШЋЕЊЕ УСЛУГА И РОБА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240.509.000,00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1.020.000,00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6.122.600,00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247.651.600,00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24,98</w:t>
            </w:r>
            <w:bookmarkStart w:id="175" w:name="_Toc450000_СУБВЕНЦИЈЕ"/>
            <w:bookmarkEnd w:id="175"/>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"450000 СУБВЕНЦИЈЕ" \l 1 </w:instrText>
            </w:r>
            <w:r>
              <w:rPr/>
              <w:fldChar w:fldCharType="separate"/>
            </w:r>
            <w:r>
              <w:rPr/>
            </w:r>
            <w:r>
              <w:rPr/>
              <w:fldChar w:fldCharType="end"/>
            </w:r>
          </w:p>
          <w:p>
            <w:pPr>
              <w:pStyle w:val="Normal"/>
              <w:jc w:val="center"/>
              <w:rPr>
                <w:color w:val="000000"/>
                <w:sz w:val="16"/>
                <w:szCs w:val="16"/>
              </w:rPr>
            </w:pPr>
            <w:r>
              <w:rPr>
                <w:color w:val="000000"/>
                <w:sz w:val="16"/>
                <w:szCs w:val="16"/>
              </w:rPr>
              <w:t>451000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13.500.000,00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9.500.000,00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0,96</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450000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СУБВЕНЦИЈЕ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20.750.000,00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23.000.000,00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2,32</w:t>
            </w:r>
            <w:bookmarkStart w:id="176" w:name="_Toc460000_ДОНАЦИЈЕ,_ДОТАЦИЈЕ_И_ТРАНСФЕР"/>
            <w:bookmarkEnd w:id="176"/>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"460000 ДОНАЦИЈЕ, ДОТАЦИЈЕ И ТРАНСФЕРИ"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116.145.000,00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116.145.000,00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11,72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460000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ДОНАЦИЈЕ,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121.086.680,00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121.086.680,00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12,22</w:t>
            </w:r>
            <w:bookmarkStart w:id="177" w:name="_Toc470000_СОЦИЈАЛНО_ОСИГУРАЊЕ_И_СОЦИЈАЛ"/>
            <w:bookmarkEnd w:id="177"/>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"470000 СОЦИЈАЛНО ОСИГУРАЊЕ И СОЦИЈАЛНА ЗАШТИТА" \l 1 </w:instrText>
            </w:r>
            <w:r>
              <w:rPr/>
              <w:fldChar w:fldCharType="separate"/>
            </w:r>
            <w:r>
              <w:rPr/>
            </w:r>
            <w:r>
              <w:rPr/>
              <w:fldChar w:fldCharType="end"/>
            </w:r>
          </w:p>
          <w:p>
            <w:pPr>
              <w:pStyle w:val="Normal"/>
              <w:jc w:val="center"/>
              <w:rPr>
                <w:color w:val="000000"/>
                <w:sz w:val="16"/>
                <w:szCs w:val="16"/>
              </w:rPr>
            </w:pPr>
            <w:r>
              <w:rPr>
                <w:color w:val="000000"/>
                <w:sz w:val="16"/>
                <w:szCs w:val="16"/>
              </w:rPr>
              <w:t>472000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55.802.378,00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55.802.378,00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5,63</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470000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СОЦИЈАЛНО ОСИГУРАЊЕ И СОЦИЈАЛНА ЗАШТИТА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5,63</w:t>
            </w:r>
            <w:bookmarkStart w:id="178" w:name="_Toc480000_ОСТАЛИ_РАСХОДИ"/>
            <w:bookmarkEnd w:id="178"/>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"480000 ОСТАЛИ РАСХОДИ"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35.368.430,00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2.113.000,00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37.481.430,00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3,78</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556.000,00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10.100.000,00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484000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0,50</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480000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ОСТАЛИ РАСХОДИ</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51.903.430,00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2.213.000,00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54.137.430,00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5,46</w:t>
            </w:r>
            <w:bookmarkStart w:id="179" w:name="_Toc490000_АДМИНИСТРАТИВНИ_ТРАНСФЕРИ_ИЗ_"/>
            <w:bookmarkEnd w:id="179"/>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"490000 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 \l 1 </w:instrText>
            </w:r>
            <w:r>
              <w:rPr/>
              <w:fldChar w:fldCharType="separate"/>
            </w:r>
            <w:r>
              <w:rPr/>
            </w:r>
            <w:r>
              <w:rPr/>
              <w:fldChar w:fldCharType="end"/>
            </w:r>
          </w:p>
          <w:p>
            <w:pPr>
              <w:pStyle w:val="Normal"/>
              <w:jc w:val="center"/>
              <w:rPr>
                <w:color w:val="000000"/>
                <w:sz w:val="16"/>
                <w:szCs w:val="16"/>
              </w:rPr>
            </w:pPr>
            <w:r>
              <w:rPr>
                <w:color w:val="000000"/>
                <w:sz w:val="16"/>
                <w:szCs w:val="16"/>
              </w:rPr>
              <w:t>499000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1,04</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490000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1,04</w:t>
            </w:r>
            <w:bookmarkStart w:id="180" w:name="_Toc510000_ОСНОВНА_СРЕДСТВА"/>
            <w:bookmarkEnd w:id="180"/>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"510000 ОСНОВНА СРЕДСТВА" \l 1 </w:instrText>
            </w:r>
            <w:r>
              <w:rPr/>
              <w:fldChar w:fldCharType="separate"/>
            </w:r>
            <w:r>
              <w:rPr/>
            </w:r>
            <w:r>
              <w:rPr/>
              <w:fldChar w:fldCharType="end"/>
            </w:r>
          </w:p>
          <w:p>
            <w:pPr>
              <w:pStyle w:val="Normal"/>
              <w:jc w:val="center"/>
              <w:rPr>
                <w:color w:val="000000"/>
                <w:sz w:val="16"/>
                <w:szCs w:val="16"/>
              </w:rPr>
            </w:pPr>
            <w:r>
              <w:rPr>
                <w:color w:val="000000"/>
                <w:sz w:val="16"/>
                <w:szCs w:val="16"/>
              </w:rPr>
              <w:t>511000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84.215.000,00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96.298.600,00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180.513.600,00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18,21</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7.150.000,00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0,72</w:t>
            </w:r>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530.000,00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510000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ОСНОВНА СРЕДСТВА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91.895.000,00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96.298.600,00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188.193.600,00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18,99</w:t>
            </w:r>
            <w:bookmarkStart w:id="181" w:name="_Toc540000_ПРИРОДНА_ИМОВИНА"/>
            <w:bookmarkEnd w:id="181"/>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"540000 ПРИРОДНА ИМОВИНА" \l 1 </w:instrText>
            </w:r>
            <w:r>
              <w:rPr/>
              <w:fldChar w:fldCharType="separate"/>
            </w:r>
            <w:r>
              <w:rPr/>
            </w:r>
            <w:r>
              <w:rPr/>
              <w:fldChar w:fldCharType="end"/>
            </w:r>
          </w:p>
          <w:p>
            <w:pPr>
              <w:pStyle w:val="Normal"/>
              <w:jc w:val="center"/>
              <w:rPr>
                <w:color w:val="000000"/>
                <w:sz w:val="16"/>
                <w:szCs w:val="16"/>
              </w:rPr>
            </w:pPr>
            <w:r>
              <w:rPr>
                <w:color w:val="000000"/>
                <w:sz w:val="16"/>
                <w:szCs w:val="16"/>
              </w:rPr>
              <w:t>541000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0,25</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540000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ПРИРОДНА ИМОВИНА</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0,25</w:t>
            </w:r>
            <w:bookmarkStart w:id="182" w:name="_Toc620000_НАБАВКА_ФИНАНСИЈСКЕ_ИМОВИНЕ"/>
            <w:bookmarkEnd w:id="182"/>
          </w:p>
        </w:tc>
      </w:tr>
      <w:tr>
        <w:trPr/>
        <w:tc>
          <w:tcPr>
            <w:tcW w:w="89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"620000 НАБАВКА ФИНАНСИЈСКЕ ИМОВИНЕ" \l 1 </w:instrText>
            </w:r>
            <w:r>
              <w:rPr/>
              <w:fldChar w:fldCharType="separate"/>
            </w:r>
            <w:r>
              <w:rPr/>
            </w:r>
            <w:r>
              <w:rPr/>
              <w:fldChar w:fldCharType="end"/>
            </w:r>
          </w:p>
          <w:p>
            <w:pPr>
              <w:pStyle w:val="Normal"/>
              <w:jc w:val="center"/>
              <w:rPr>
                <w:color w:val="000000"/>
                <w:sz w:val="16"/>
                <w:szCs w:val="16"/>
              </w:rPr>
            </w:pPr>
            <w:r>
              <w:rPr>
                <w:color w:val="000000"/>
                <w:sz w:val="16"/>
                <w:szCs w:val="16"/>
              </w:rPr>
              <w:t>621000</w:t>
            </w:r>
          </w:p>
        </w:tc>
        <w:tc>
          <w:tcPr>
            <w:tcW w:w="7643"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НАБАВКА ДОМАЋЕ ФИНАНСИЈСКЕ ИМОВИНЕ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0,61</w:t>
            </w:r>
          </w:p>
        </w:tc>
      </w:tr>
      <w:tr>
        <w:trPr/>
        <w:tc>
          <w:tcPr>
            <w:tcW w:w="89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center"/>
              <w:rPr>
                <w:b/>
                <w:bCs/>
                <w:color w:val="000000"/>
                <w:sz w:val="16"/>
                <w:szCs w:val="16"/>
              </w:rPr>
            </w:pPr>
            <w:r>
              <w:rPr>
                <w:b/>
                <w:bCs/>
                <w:color w:val="000000"/>
                <w:sz w:val="16"/>
                <w:szCs w:val="16"/>
              </w:rPr>
              <w:t>620000</w:t>
            </w:r>
          </w:p>
        </w:tc>
        <w:tc>
          <w:tcPr>
            <w:tcW w:w="7643" w:type="dxa"/>
            <w:tcBorders>
              <w:top w:val="single" w:sz="6" w:space="0" w:color="000000"/>
              <w:left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НАБАВКА ФИНАНСИЈСКЕ ИМОВИНЕ</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0,61</w:t>
            </w:r>
          </w:p>
        </w:tc>
      </w:tr>
      <w:tr>
        <w:trPr/>
        <w:tc>
          <w:tcPr>
            <w:tcW w:w="8542"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875.756.368,00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1.112.000,00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114.338.365,00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991.206.733,00</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83" w:name="__bookmark_64"/>
            <w:bookmarkStart w:id="184" w:name="__bookmark_64"/>
            <w:bookmarkEnd w:id="184"/>
          </w:p>
          <w:p>
            <w:pPr>
              <w:pStyle w:val="Normal"/>
              <w:spacing w:lineRule="atLeast" w:line="0"/>
              <w:rPr/>
            </w:pPr>
            <w:r>
              <w:rPr/>
            </w:r>
          </w:p>
        </w:tc>
      </w:tr>
    </w:tbl>
    <w:p>
      <w:pPr>
        <w:sectPr>
          <w:headerReference w:type="default" r:id="rId40"/>
          <w:headerReference w:type="first" r:id="rId41"/>
          <w:footerReference w:type="default" r:id="rId42"/>
          <w:footerReference w:type="first" r:id="rId43"/>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85" w:name="__bookmark_68"/>
      <w:bookmarkStart w:id="186" w:name="__bookmark_68"/>
      <w:bookmarkEnd w:id="186"/>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99"/>
        <w:gridCol w:w="6967"/>
        <w:gridCol w:w="1501"/>
        <w:gridCol w:w="975"/>
        <w:gridCol w:w="1500"/>
        <w:gridCol w:w="974"/>
        <w:gridCol w:w="901"/>
        <w:gridCol w:w="1500"/>
        <w:gridCol w:w="898"/>
      </w:tblGrid>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372"/>
              <w:gridCol w:w="5372"/>
              <w:gridCol w:w="5373"/>
            </w:tblGrid>
            <w:tr>
              <w:trPr>
                <w:trHeight w:val="276" w:hRule="atLeast"/>
              </w:trPr>
              <w:tc>
                <w:tcPr>
                  <w:tcW w:w="16117" w:type="dxa"/>
                  <w:gridSpan w:val="3"/>
                  <w:tcBorders/>
                </w:tcPr>
                <w:p>
                  <w:pPr>
                    <w:pStyle w:val="Normal"/>
                    <w:jc w:val="center"/>
                    <w:rPr>
                      <w:b/>
                      <w:bCs/>
                      <w:color w:val="000000"/>
                      <w:sz w:val="24"/>
                      <w:szCs w:val="24"/>
                    </w:rPr>
                  </w:pPr>
                  <w:r>
                    <w:rPr>
                      <w:b/>
                      <w:bCs/>
                      <w:color w:val="000000"/>
                      <w:sz w:val="24"/>
                      <w:szCs w:val="24"/>
                    </w:rPr>
                    <w:t>УПОРЕДНИ ПЛАНОВИ - РАСХОДИ И ИЗДАЦИ</w:t>
                  </w:r>
                </w:p>
              </w:tc>
            </w:tr>
            <w:tr>
              <w:trPr/>
              <w:tc>
                <w:tcPr>
                  <w:tcW w:w="5372" w:type="dxa"/>
                  <w:tcBorders/>
                </w:tcPr>
                <w:p>
                  <w:pPr>
                    <w:pStyle w:val="Normal"/>
                    <w:rPr>
                      <w:b/>
                      <w:bCs/>
                      <w:color w:val="000000"/>
                      <w:sz w:val="16"/>
                      <w:szCs w:val="16"/>
                    </w:rPr>
                  </w:pPr>
                  <w:r>
                    <w:rPr>
                      <w:b/>
                      <w:bCs/>
                      <w:color w:val="000000"/>
                      <w:sz w:val="16"/>
                      <w:szCs w:val="16"/>
                    </w:rPr>
                    <w:t>0     БУЏЕТ ОПШТИНЕ АРИЉЕ</w:t>
                  </w:r>
                </w:p>
              </w:tc>
              <w:tc>
                <w:tcPr>
                  <w:tcW w:w="5372" w:type="dxa"/>
                  <w:tcBorders/>
                </w:tcPr>
                <w:p>
                  <w:pPr>
                    <w:pStyle w:val="Normal"/>
                    <w:jc w:val="center"/>
                    <w:rPr>
                      <w:b/>
                      <w:bCs/>
                      <w:color w:val="000000"/>
                    </w:rPr>
                  </w:pPr>
                  <w:r>
                    <w:rPr>
                      <w:b/>
                      <w:bCs/>
                      <w:color w:val="000000"/>
                    </w:rPr>
                    <w:t>2026</w:t>
                  </w:r>
                </w:p>
              </w:tc>
              <w:tc>
                <w:tcPr>
                  <w:tcW w:w="5373" w:type="dxa"/>
                  <w:tcBorders/>
                </w:tcPr>
                <w:p>
                  <w:pPr>
                    <w:pStyle w:val="Normal"/>
                    <w:jc w:val="right"/>
                    <w:rPr>
                      <w:color w:val="000000"/>
                      <w:sz w:val="16"/>
                      <w:szCs w:val="16"/>
                    </w:rPr>
                  </w:pPr>
                  <w:r>
                    <w:rPr>
                      <w:color w:val="000000"/>
                      <w:sz w:val="16"/>
                      <w:szCs w:val="16"/>
                    </w:rPr>
                    <w:t>Валута: ДИН</w:t>
                  </w:r>
                </w:p>
              </w:tc>
            </w:tr>
          </w:tbl>
          <w:p>
            <w:pPr>
              <w:pStyle w:val="Normal"/>
              <w:spacing w:lineRule="atLeast" w:line="0"/>
              <w:rPr/>
            </w:pPr>
            <w:r>
              <w:rPr/>
            </w:r>
          </w:p>
        </w:tc>
      </w:tr>
      <w:tr>
        <w:trPr>
          <w:tblHeader w:val="true"/>
        </w:trPr>
        <w:tc>
          <w:tcPr>
            <w:tcW w:w="7866"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spacing w:lineRule="atLeast" w:line="0"/>
              <w:jc w:val="center"/>
              <w:rPr/>
            </w:pPr>
            <w:r>
              <w:rPr/>
            </w:r>
          </w:p>
        </w:tc>
        <w:tc>
          <w:tcPr>
            <w:tcW w:w="15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 у %</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Ребаланс</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 у %</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Индекс</w:t>
            </w:r>
          </w:p>
          <w:p>
            <w:pPr>
              <w:pStyle w:val="Normal"/>
              <w:jc w:val="center"/>
              <w:rPr>
                <w:b/>
                <w:bCs/>
                <w:color w:val="000000"/>
                <w:sz w:val="16"/>
                <w:szCs w:val="16"/>
              </w:rPr>
            </w:pPr>
            <w:r>
              <w:rPr>
                <w:b/>
                <w:bCs/>
                <w:color w:val="000000"/>
                <w:sz w:val="16"/>
                <w:szCs w:val="16"/>
              </w:rPr>
              <w:t>(2:4)</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 за наредну годину</w:t>
            </w:r>
          </w:p>
        </w:tc>
        <w:tc>
          <w:tcPr>
            <w:tcW w:w="898"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Индекс</w:t>
            </w:r>
          </w:p>
          <w:p>
            <w:pPr>
              <w:pStyle w:val="Normal"/>
              <w:jc w:val="center"/>
              <w:rPr>
                <w:b/>
                <w:bCs/>
                <w:color w:val="000000"/>
                <w:sz w:val="16"/>
                <w:szCs w:val="16"/>
              </w:rPr>
            </w:pPr>
            <w:r>
              <w:rPr>
                <w:b/>
                <w:bCs/>
                <w:color w:val="000000"/>
                <w:sz w:val="16"/>
                <w:szCs w:val="16"/>
              </w:rPr>
              <w:t>(7:2)</w:t>
            </w:r>
          </w:p>
        </w:tc>
      </w:tr>
      <w:tr>
        <w:trPr>
          <w:tblHeader w:val="true"/>
        </w:trPr>
        <w:tc>
          <w:tcPr>
            <w:tcW w:w="7866"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1</w:t>
            </w:r>
          </w:p>
        </w:tc>
        <w:tc>
          <w:tcPr>
            <w:tcW w:w="15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2</w:t>
            </w:r>
          </w:p>
        </w:tc>
        <w:tc>
          <w:tcPr>
            <w:tcW w:w="97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4</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5</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6</w:t>
            </w:r>
          </w:p>
        </w:tc>
        <w:tc>
          <w:tcPr>
            <w:tcW w:w="150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7</w:t>
            </w:r>
          </w:p>
        </w:tc>
        <w:tc>
          <w:tcPr>
            <w:tcW w:w="898"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8</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 (ЗАРАДЕ)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227.913.403,00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22,99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227.913.403,00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22,99</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СОЦИЈАЛНИ ДОПРИНОСИ НА ТЕРЕТ ПОСЛОДАВЦА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34.528.642,00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34.528.642,00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3,48</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1.921.000,00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0,19</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1.921.000,00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0,19</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СОЦИЈАЛНА ДАВАЊА ЗАПОСЛЕНИМА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6.442.000,00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0,65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6.442.000,00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0,65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8.530.000,00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0,86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8.530.000,00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0,86</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416000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0,32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0,32</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СТАЛНИ ТРОШКОВИ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82.317.000,00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8,30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82.317.000,00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8,30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2.632.000,00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0,27</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2.632.000,00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0,27</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ПО УГОВОРУ</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40.674.600,00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40.674.600,00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4,10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СПЕЦИЈАЛИЗОВАНЕ УСЛУГЕ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48.030.000,00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48.030.000,00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40.325.000,00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4,07</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40.325.000,00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4,07</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426000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33.673.000,00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33.673.000,00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451000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ЈАВНИМ НЕФИНАНСИЈСКИМ ПРЕДУЗЕЋИМА И ОРГАНИЗАЦИЈАМА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13.500.000,00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13.500.000,00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454000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СУБВЕНЦИЈЕ ПРИВАТНИМ ПРЕДУЗЕЋИМА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9.500.000,00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0,96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9.500.000,00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0,96</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463000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ТРАНСФЕРИ ОСТАЛИМ НИВОИМА ВЛАСТИ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116.145.000,00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11,72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116.145.000,00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11,72</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464000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ОРГАНИЗАЦИЈАМА ЗА ОБАВЕЗНО СОЦИЈАЛНО ОСИГУРАЊЕ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4.941.680,00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0,50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4.941.680,00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0,50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472000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ЗА СОЦИЈАЛНУ ЗАШТИТУ ИЗ БУЏЕТА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55.802.378,00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5,63</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55.802.378,00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5,63</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НЕВЛАДИНИМ ОРГАНИЗАЦИЈАМА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37.481.430,00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3,78</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37.481.430,00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3,78</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ПОРЕЗИ, ОБАВЕЗНЕ ТАКСЕ, КАЗНЕ, ПЕНАЛИ И КАМАТЕ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556.000,00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0,06</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556.000,00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0,06</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483000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484000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0,10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0,10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485000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0,50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0,50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499000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10.300.000,00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1,04</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10.300.000,00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1,04</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511000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ЗГРАДЕ И ГРАЂЕВИНСКИ ОБЈЕКТИ</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180.513.600,00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18,21</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180.513.600,00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18,21</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512000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МАШИНЕ И ОПРЕМА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7.150.000,00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0,72</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7.150.000,00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0,72</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515000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530.000,00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530.000,00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541000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ЗЕМЉИШТЕ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0,25</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0,25</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vAlign w:val="center"/>
          </w:tcPr>
          <w:p>
            <w:pPr>
              <w:pStyle w:val="Normal"/>
              <w:jc w:val="center"/>
              <w:rPr>
                <w:color w:val="000000"/>
                <w:sz w:val="16"/>
                <w:szCs w:val="16"/>
              </w:rPr>
            </w:pPr>
            <w:r>
              <w:rPr>
                <w:color w:val="000000"/>
                <w:sz w:val="16"/>
                <w:szCs w:val="16"/>
              </w:rPr>
              <w:t>621000</w:t>
            </w:r>
          </w:p>
        </w:tc>
        <w:tc>
          <w:tcPr>
            <w:tcW w:w="6967" w:type="dxa"/>
            <w:tcBorders>
              <w:top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НАБАВКА ДОМАЋЕ ФИНАНСИЈСКЕ ИМОВИНЕ</w:t>
            </w:r>
          </w:p>
        </w:tc>
        <w:tc>
          <w:tcPr>
            <w:tcW w:w="15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0,61</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974"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0,61</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r>
      <w:tr>
        <w:trPr/>
        <w:tc>
          <w:tcPr>
            <w:tcW w:w="899" w:type="dxa"/>
            <w:tcBorders>
              <w:top w:val="single" w:sz="6" w:space="0" w:color="000000"/>
              <w:left w:val="single" w:sz="6" w:space="0" w:color="000000"/>
              <w:bottom w:val="single" w:sz="6" w:space="0" w:color="000000"/>
            </w:tcBorders>
            <w:shd w:color="auto" w:fill="E9E9E9" w:val="clear"/>
            <w:vAlign w:val="center"/>
          </w:tcPr>
          <w:p>
            <w:pPr>
              <w:pStyle w:val="Normal"/>
              <w:spacing w:lineRule="atLeast" w:line="0"/>
              <w:rPr/>
            </w:pPr>
            <w:r>
              <w:rPr/>
            </w:r>
          </w:p>
        </w:tc>
        <w:tc>
          <w:tcPr>
            <w:tcW w:w="6967" w:type="dxa"/>
            <w:tcBorders>
              <w:top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Укупно</w:t>
            </w:r>
          </w:p>
        </w:tc>
        <w:tc>
          <w:tcPr>
            <w:tcW w:w="150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991.206.733,00</w:t>
            </w:r>
          </w:p>
        </w:tc>
        <w:tc>
          <w:tcPr>
            <w:tcW w:w="975"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991.206.733,00</w:t>
            </w:r>
          </w:p>
        </w:tc>
        <w:tc>
          <w:tcPr>
            <w:tcW w:w="974"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100,00</w:t>
            </w:r>
          </w:p>
        </w:tc>
        <w:tc>
          <w:tcPr>
            <w:tcW w:w="901"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0,00</w:t>
            </w:r>
          </w:p>
        </w:tc>
        <w:tc>
          <w:tcPr>
            <w:tcW w:w="898" w:type="dxa"/>
            <w:tcBorders>
              <w:top w:val="single" w:sz="6" w:space="0" w:color="000000"/>
              <w:left w:val="single" w:sz="6" w:space="0" w:color="000000"/>
              <w:bottom w:val="single" w:sz="6" w:space="0" w:color="000000"/>
              <w:right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87" w:name="__bookmark_69"/>
            <w:bookmarkStart w:id="188" w:name="__bookmark_69"/>
            <w:bookmarkEnd w:id="188"/>
          </w:p>
          <w:p>
            <w:pPr>
              <w:pStyle w:val="Normal"/>
              <w:spacing w:lineRule="atLeast" w:line="0"/>
              <w:rPr/>
            </w:pPr>
            <w:r>
              <w:rPr/>
            </w:r>
          </w:p>
        </w:tc>
      </w:tr>
    </w:tbl>
    <w:p>
      <w:pPr>
        <w:sectPr>
          <w:headerReference w:type="default" r:id="rId44"/>
          <w:headerReference w:type="first" r:id="rId45"/>
          <w:footerReference w:type="default" r:id="rId46"/>
          <w:footerReference w:type="first" r:id="rId47"/>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89" w:name="__bookmark_73"/>
      <w:bookmarkStart w:id="190" w:name="__bookmark_73"/>
      <w:bookmarkEnd w:id="190"/>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25"/>
        <w:gridCol w:w="749"/>
        <w:gridCol w:w="901"/>
        <w:gridCol w:w="6067"/>
        <w:gridCol w:w="1650"/>
        <w:gridCol w:w="1650"/>
        <w:gridCol w:w="1649"/>
        <w:gridCol w:w="1650"/>
        <w:gridCol w:w="974"/>
      </w:tblGrid>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276" w:hRule="atLeast"/>
              </w:trPr>
              <w:tc>
                <w:tcPr>
                  <w:tcW w:w="16117" w:type="dxa"/>
                  <w:gridSpan w:val="3"/>
                  <w:tcBorders/>
                </w:tcPr>
                <w:p>
                  <w:pPr>
                    <w:pStyle w:val="Normal"/>
                    <w:jc w:val="center"/>
                    <w:rPr>
                      <w:b/>
                      <w:bCs/>
                      <w:color w:val="000000"/>
                      <w:sz w:val="24"/>
                      <w:szCs w:val="24"/>
                    </w:rPr>
                  </w:pPr>
                  <w:r>
                    <w:rPr>
                      <w:b/>
                      <w:bCs/>
                      <w:color w:val="000000"/>
                      <w:sz w:val="24"/>
                      <w:szCs w:val="24"/>
                    </w:rPr>
                    <w:t>АНАЛИТИЧКИ ПЛАН РАСХОДА ДИРЕКТНИХ БУЏЕТСКИХ КОРИСНИКА</w:t>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rPr>
                  </w:pPr>
                  <w:r>
                    <w:rPr>
                      <w:b/>
                      <w:bCs/>
                      <w:color w:val="000000"/>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300" w:hRule="exact"/>
        </w:trPr>
        <w:tc>
          <w:tcPr>
            <w:tcW w:w="16115" w:type="dxa"/>
            <w:gridSpan w:val="9"/>
            <w:tcBorders>
              <w:bottom w:val="single" w:sz="6" w:space="0" w:color="000000"/>
            </w:tcBorders>
          </w:tcPr>
          <w:p>
            <w:pPr>
              <w:pStyle w:val="Normal"/>
              <w:spacing w:lineRule="atLeast" w:line="0"/>
              <w:jc w:val="center"/>
              <w:rPr/>
            </w:pPr>
            <w:r>
              <w:rPr/>
            </w:r>
          </w:p>
        </w:tc>
      </w:tr>
      <w:tr>
        <w:trPr>
          <w:tblHeader w:val="true"/>
        </w:trPr>
        <w:tc>
          <w:tcPr>
            <w:tcW w:w="82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Број позиције</w:t>
            </w:r>
          </w:p>
        </w:tc>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6067"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 БУЏЕТ ОПШТИНЕ АРИЉЕ" \l 1 </w:instrText>
            </w:r>
            <w:r>
              <w:rPr/>
              <w:fldChar w:fldCharType="separate"/>
            </w:r>
            <w:r>
              <w:rPr/>
            </w:r>
            <w:r>
              <w:rPr/>
              <w:fldChar w:fldCharType="end"/>
            </w:r>
          </w:p>
          <w:p>
            <w:pPr>
              <w:pStyle w:val="Normal"/>
              <w:rPr>
                <w:vanish/>
              </w:rPr>
            </w:pPr>
            <w:r>
              <w:fldChar w:fldCharType="begin"/>
            </w:r>
            <w:r>
              <w:rPr/>
              <w:instrText xml:space="preserve"> TC "1 СКУПШТИНА ОПШТИНЕ"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1</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СКУПШТИНА ОПШТИНЕ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202.640,00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202.640,00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393.490,00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393.490,00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768.430,00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1</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СКУПШТИНА ОПШТИНЕ</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14.289.360,00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1,97</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"2 ПРЕДСЕДНИК ОПШТИНЕ"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2</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ПРЕДСЕДНИК ОПШТИНЕ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5.763.830,00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576.380,00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296.840,00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296.840,00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2</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ПРЕДСЕДНИК ОПШТИНЕ</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8.187.050,00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1,13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"3 ОПШТИНСКО ВЕЋЕ"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3</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ОПШТИНСКО ВЕЋЕ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0,25</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3</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ОПШТИНСКО ВЕЋЕ</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0,25</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"4 ОПШТИНСКИ ПРАВОБРАНИЛАЦ"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4</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ОПШТИНСКИ ПРАВОБРАНИЛАЦ</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19/0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206.300,00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106.280,00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106.280,00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4</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ОПШТИНСКИ ПРАВОБРАНИЛАЦ</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3.006.380,00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0,42</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 ОПШТИНСКА УПРАВА" \l 1 </w:instrText>
            </w:r>
            <w:r>
              <w:rPr/>
              <w:fldChar w:fldCharType="separate"/>
            </w:r>
            <w:r>
              <w:rPr/>
            </w:r>
            <w:r>
              <w:rPr/>
              <w:fldChar w:fldCharType="end"/>
            </w:r>
          </w:p>
          <w:p>
            <w:pPr>
              <w:pStyle w:val="Normal"/>
              <w:rPr>
                <w:b/>
                <w:bCs/>
                <w:color w:val="000000"/>
                <w:sz w:val="16"/>
                <w:szCs w:val="16"/>
              </w:rPr>
            </w:pPr>
            <w:r>
              <w:rPr>
                <w:b/>
                <w:bCs/>
                <w:color w:val="000000"/>
                <w:sz w:val="16"/>
                <w:szCs w:val="16"/>
              </w:rPr>
              <w:t>Раздео</w:t>
            </w:r>
          </w:p>
        </w:tc>
        <w:tc>
          <w:tcPr>
            <w:tcW w:w="749" w:type="dxa"/>
            <w:tcBorders>
              <w:top w:val="single" w:sz="6" w:space="0" w:color="000000"/>
              <w:bottom w:val="single" w:sz="6" w:space="0" w:color="000000"/>
            </w:tcBorders>
            <w:vAlign w:val="center"/>
          </w:tcPr>
          <w:p>
            <w:pPr>
              <w:pStyle w:val="Normal"/>
              <w:spacing w:lineRule="atLeast" w:line="0"/>
              <w:rPr/>
            </w:pPr>
            <w:r>
              <w:rPr/>
            </w:r>
          </w:p>
        </w:tc>
        <w:tc>
          <w:tcPr>
            <w:tcW w:w="901"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w:t>
            </w:r>
          </w:p>
        </w:tc>
        <w:tc>
          <w:tcPr>
            <w:tcW w:w="13640" w:type="dxa"/>
            <w:gridSpan w:val="6"/>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ОПШТИНСКА УПРАВА</w:t>
            </w:r>
            <w:bookmarkStart w:id="191" w:name="_Toc-"/>
            <w:bookmarkEnd w:id="191"/>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vanish/>
              </w:rPr>
            </w:pPr>
            <w:r>
              <w:fldChar w:fldCharType="begin"/>
            </w:r>
            <w:r>
              <w:rPr/>
              <w:instrText xml:space="preserve"> TC "-" \l 1 </w:instrText>
            </w:r>
            <w:r>
              <w:rPr/>
              <w:fldChar w:fldCharType="separate"/>
            </w:r>
            <w:r>
              <w:rPr/>
            </w:r>
            <w:r>
              <w:rPr/>
              <w:fldChar w:fldCharType="end"/>
            </w:r>
          </w:p>
          <w:p>
            <w:pPr>
              <w:pStyle w:val="Normal"/>
              <w:jc w:val="center"/>
              <w:rPr>
                <w:color w:val="000000"/>
                <w:sz w:val="16"/>
                <w:szCs w:val="16"/>
              </w:rPr>
            </w:pPr>
            <w:r>
              <w:rPr>
                <w:color w:val="000000"/>
                <w:sz w:val="16"/>
                <w:szCs w:val="16"/>
              </w:rPr>
              <w:t>27/0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2.602.378,00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2.602.378,00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29/0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1.256.200,00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1.256.200,00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60.789.280,00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8,39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3.130.590,00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3.130.590,00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6.078.850,00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6.078.850,00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39/0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1,66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1,38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1,38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499100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2.941.680,00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Пољопривредне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1,79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4,09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3,18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541100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19,33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2,90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337.900,00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337.900,00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293.500,00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293.500,00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79/0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3.298.600,00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3.298.600,00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0,97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10.154.000,00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1,40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1,38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621900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Набавка домаћих акција и осталог капитала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89/0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1,93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91/0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92/0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93/0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3,18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94/0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95/0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454100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96/0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0,97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97/0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0,80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0,95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3,33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745.000,00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745.000,00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2,78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5.650.000,00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98/0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498.000,00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0,97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151.000,00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99/0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100/0</w:t>
            </w:r>
          </w:p>
        </w:tc>
        <w:tc>
          <w:tcPr>
            <w:tcW w:w="74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472700</w:t>
            </w:r>
          </w:p>
        </w:tc>
        <w:tc>
          <w:tcPr>
            <w:tcW w:w="6067" w:type="dxa"/>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4,23</w:t>
            </w:r>
          </w:p>
        </w:tc>
      </w:tr>
      <w:tr>
        <w:trPr/>
        <w:tc>
          <w:tcPr>
            <w:tcW w:w="1574"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раздео</w:t>
            </w:r>
          </w:p>
        </w:tc>
        <w:tc>
          <w:tcPr>
            <w:tcW w:w="901" w:type="dxa"/>
            <w:tcBorders>
              <w:top w:val="single" w:sz="6" w:space="0" w:color="000000"/>
              <w:bottom w:val="single" w:sz="6" w:space="0" w:color="000000"/>
            </w:tcBorders>
            <w:shd w:color="auto" w:fill="F5F5F5" w:val="clear"/>
          </w:tcPr>
          <w:p>
            <w:pPr>
              <w:pStyle w:val="Normal"/>
              <w:jc w:val="center"/>
              <w:rPr>
                <w:b/>
                <w:bCs/>
                <w:color w:val="000000"/>
                <w:sz w:val="16"/>
                <w:szCs w:val="16"/>
              </w:rPr>
            </w:pPr>
            <w:r>
              <w:rPr>
                <w:b/>
                <w:bCs/>
                <w:color w:val="000000"/>
                <w:sz w:val="16"/>
                <w:szCs w:val="16"/>
              </w:rPr>
              <w:t>5</w:t>
            </w:r>
          </w:p>
        </w:tc>
        <w:tc>
          <w:tcPr>
            <w:tcW w:w="6067"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591.104.778,00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105.859.200,00</w:t>
            </w:r>
          </w:p>
        </w:tc>
        <w:tc>
          <w:tcPr>
            <w:tcW w:w="1650" w:type="dxa"/>
            <w:tcBorders>
              <w:top w:val="single" w:sz="6" w:space="0" w:color="000000"/>
              <w:bottom w:val="single" w:sz="6" w:space="0" w:color="000000"/>
            </w:tcBorders>
            <w:shd w:color="auto" w:fill="F5F5F5" w:val="clear"/>
          </w:tcPr>
          <w:p>
            <w:pPr>
              <w:pStyle w:val="Normal"/>
              <w:jc w:val="right"/>
              <w:rPr>
                <w:b/>
                <w:bCs/>
                <w:color w:val="000000"/>
                <w:sz w:val="16"/>
                <w:szCs w:val="16"/>
              </w:rPr>
            </w:pPr>
            <w:r>
              <w:rPr>
                <w:b/>
                <w:bCs/>
                <w:color w:val="000000"/>
                <w:sz w:val="16"/>
                <w:szCs w:val="16"/>
              </w:rPr>
              <w:t>696.963.978,00</w:t>
            </w:r>
          </w:p>
        </w:tc>
        <w:tc>
          <w:tcPr>
            <w:tcW w:w="974" w:type="dxa"/>
            <w:tcBorders>
              <w:top w:val="single" w:sz="6" w:space="0" w:color="000000"/>
              <w:bottom w:val="single" w:sz="6" w:space="0" w:color="000000"/>
              <w:right w:val="single" w:sz="6" w:space="0" w:color="000000"/>
            </w:tcBorders>
            <w:shd w:color="auto" w:fill="F5F5F5" w:val="clear"/>
            <w:tcMar>
              <w:right w:w="200" w:type="dxa"/>
            </w:tcMar>
          </w:tcPr>
          <w:p>
            <w:pPr>
              <w:pStyle w:val="Normal"/>
              <w:jc w:val="right"/>
              <w:rPr>
                <w:b/>
                <w:bCs/>
                <w:color w:val="000000"/>
                <w:sz w:val="16"/>
                <w:szCs w:val="16"/>
              </w:rPr>
            </w:pPr>
            <w:r>
              <w:rPr>
                <w:b/>
                <w:bCs/>
                <w:color w:val="000000"/>
                <w:sz w:val="16"/>
                <w:szCs w:val="16"/>
              </w:rPr>
              <w:t>96,23</w:t>
            </w:r>
          </w:p>
        </w:tc>
      </w:tr>
      <w:tr>
        <w:trPr>
          <w:trHeight w:val="225" w:hRule="exact"/>
        </w:trPr>
        <w:tc>
          <w:tcPr>
            <w:tcW w:w="16115" w:type="dxa"/>
            <w:gridSpan w:val="9"/>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1574" w:type="dxa"/>
            <w:gridSpan w:val="2"/>
            <w:tcBorders>
              <w:top w:val="single" w:sz="6" w:space="0" w:color="000000"/>
              <w:left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Укупно за БК</w:t>
            </w:r>
          </w:p>
        </w:tc>
        <w:tc>
          <w:tcPr>
            <w:tcW w:w="901" w:type="dxa"/>
            <w:tcBorders>
              <w:top w:val="single" w:sz="6" w:space="0" w:color="000000"/>
              <w:bottom w:val="single" w:sz="6" w:space="0" w:color="000000"/>
            </w:tcBorders>
            <w:shd w:color="auto" w:fill="E9E9E9" w:val="clear"/>
          </w:tcPr>
          <w:p>
            <w:pPr>
              <w:pStyle w:val="Normal"/>
              <w:jc w:val="center"/>
              <w:rPr>
                <w:b/>
                <w:bCs/>
                <w:color w:val="000000"/>
                <w:sz w:val="16"/>
                <w:szCs w:val="16"/>
              </w:rPr>
            </w:pPr>
            <w:r>
              <w:rPr>
                <w:b/>
                <w:bCs/>
                <w:color w:val="000000"/>
                <w:sz w:val="16"/>
                <w:szCs w:val="16"/>
              </w:rPr>
              <w:t>0</w:t>
            </w:r>
          </w:p>
        </w:tc>
        <w:tc>
          <w:tcPr>
            <w:tcW w:w="6067" w:type="dxa"/>
            <w:tcBorders>
              <w:top w:val="single" w:sz="6" w:space="0" w:color="000000"/>
              <w:bottom w:val="single" w:sz="6" w:space="0" w:color="000000"/>
            </w:tcBorders>
            <w:shd w:color="auto" w:fill="E9E9E9" w:val="clear"/>
          </w:tcPr>
          <w:p>
            <w:pPr>
              <w:pStyle w:val="Normal"/>
              <w:rPr>
                <w:b/>
                <w:bCs/>
                <w:color w:val="000000"/>
                <w:sz w:val="16"/>
                <w:szCs w:val="16"/>
              </w:rPr>
            </w:pPr>
            <w:r>
              <w:rPr>
                <w:b/>
                <w:bCs/>
                <w:color w:val="000000"/>
                <w:sz w:val="16"/>
                <w:szCs w:val="16"/>
              </w:rPr>
              <w:t>БУЏЕТ ОПШТИНЕ АРИЉЕ</w:t>
            </w:r>
          </w:p>
        </w:tc>
        <w:tc>
          <w:tcPr>
            <w:tcW w:w="165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618.387.568,00</w:t>
            </w:r>
          </w:p>
        </w:tc>
        <w:tc>
          <w:tcPr>
            <w:tcW w:w="165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105.859.200,00</w:t>
            </w:r>
          </w:p>
        </w:tc>
        <w:tc>
          <w:tcPr>
            <w:tcW w:w="1650" w:type="dxa"/>
            <w:tcBorders>
              <w:top w:val="single" w:sz="6" w:space="0" w:color="000000"/>
              <w:bottom w:val="single" w:sz="6" w:space="0" w:color="000000"/>
            </w:tcBorders>
            <w:shd w:color="auto" w:fill="E9E9E9" w:val="clear"/>
          </w:tcPr>
          <w:p>
            <w:pPr>
              <w:pStyle w:val="Normal"/>
              <w:jc w:val="right"/>
              <w:rPr>
                <w:b/>
                <w:bCs/>
                <w:color w:val="000000"/>
                <w:sz w:val="16"/>
                <w:szCs w:val="16"/>
              </w:rPr>
            </w:pPr>
            <w:r>
              <w:rPr>
                <w:b/>
                <w:bCs/>
                <w:color w:val="000000"/>
                <w:sz w:val="16"/>
                <w:szCs w:val="16"/>
              </w:rPr>
              <w:t>724.246.768,00</w:t>
            </w:r>
          </w:p>
        </w:tc>
        <w:tc>
          <w:tcPr>
            <w:tcW w:w="974" w:type="dxa"/>
            <w:tcBorders>
              <w:top w:val="single" w:sz="6" w:space="0" w:color="000000"/>
              <w:bottom w:val="single" w:sz="6" w:space="0" w:color="000000"/>
              <w:right w:val="single" w:sz="6" w:space="0" w:color="000000"/>
            </w:tcBorders>
            <w:shd w:color="auto" w:fill="E9E9E9" w:val="clear"/>
            <w:tcMar>
              <w:right w:w="200" w:type="dxa"/>
            </w:tcMa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192" w:name="__bookmark_74"/>
            <w:bookmarkStart w:id="193" w:name="__bookmark_74"/>
            <w:bookmarkEnd w:id="193"/>
          </w:p>
          <w:p>
            <w:pPr>
              <w:pStyle w:val="Normal"/>
              <w:spacing w:lineRule="atLeast" w:line="0"/>
              <w:rPr/>
            </w:pPr>
            <w:r>
              <w:rPr/>
            </w:r>
          </w:p>
        </w:tc>
      </w:tr>
    </w:tbl>
    <w:p>
      <w:pPr>
        <w:sectPr>
          <w:headerReference w:type="default" r:id="rId48"/>
          <w:headerReference w:type="first" r:id="rId49"/>
          <w:footerReference w:type="default" r:id="rId50"/>
          <w:footerReference w:type="first" r:id="rId51"/>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194" w:name="__bookmark_78"/>
      <w:bookmarkStart w:id="195" w:name="__bookmark_78"/>
      <w:bookmarkEnd w:id="195"/>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 ЗА КОРИСНИКА БУЏЕТ ОПШТИНЕ АРИЉЕ</w:t>
            </w:r>
          </w:p>
        </w:tc>
      </w:tr>
      <w:tr>
        <w:trPr>
          <w:tblHeader w:val="true"/>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blHeader w:val="true"/>
          <w:trHeight w:val="300" w:hRule="exact"/>
        </w:trPr>
        <w:tc>
          <w:tcPr>
            <w:tcW w:w="16115" w:type="dxa"/>
            <w:gridSpan w:val="9"/>
            <w:tcBorders/>
          </w:tcPr>
          <w:p>
            <w:pPr>
              <w:pStyle w:val="Normal"/>
              <w:spacing w:lineRule="atLeast" w:line="0"/>
              <w:jc w:val="center"/>
              <w:rPr/>
            </w:pPr>
            <w:r>
              <w:rPr/>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tcBorders>
          </w:tcPr>
          <w:p>
            <w:pPr>
              <w:pStyle w:val="Normal"/>
              <w:rPr>
                <w:vanish/>
              </w:rPr>
            </w:pPr>
            <w:r>
              <w:fldChar w:fldCharType="begin"/>
            </w:r>
            <w:r>
              <w:rPr/>
              <w:instrText xml:space="preserve"> TC "0 БУЏЕТ ОПШТИНЕ АРИЉЕ" \l 1 </w:instrText>
            </w:r>
            <w:r>
              <w:rPr/>
              <w:fldChar w:fldCharType="separate"/>
            </w:r>
            <w:r>
              <w:rPr/>
            </w:r>
            <w:r>
              <w:rPr/>
              <w:fldChar w:fldCharType="end"/>
            </w:r>
          </w:p>
          <w:p>
            <w:pPr>
              <w:pStyle w:val="Normal"/>
              <w:jc w:val="center"/>
              <w:rPr>
                <w:b/>
                <w:bCs/>
                <w:color w:val="000000"/>
              </w:rPr>
            </w:pPr>
            <w:r>
              <w:rPr>
                <w:b/>
                <w:bCs/>
                <w:color w:val="000000"/>
              </w:rPr>
              <w:t>0</w:t>
            </w:r>
          </w:p>
        </w:tc>
        <w:tc>
          <w:tcPr>
            <w:tcW w:w="15366" w:type="dxa"/>
            <w:gridSpan w:val="8"/>
            <w:tcBorders>
              <w:top w:val="single" w:sz="6" w:space="0" w:color="000000"/>
              <w:bottom w:val="single" w:sz="6" w:space="0" w:color="000000"/>
              <w:right w:val="single" w:sz="6" w:space="0" w:color="000000"/>
            </w:tcBorders>
          </w:tcPr>
          <w:p>
            <w:pPr>
              <w:pStyle w:val="Normal"/>
              <w:rPr>
                <w:b/>
                <w:bCs/>
                <w:color w:val="000000"/>
              </w:rPr>
            </w:pPr>
            <w:r>
              <w:rPr>
                <w:b/>
                <w:bCs/>
                <w:color w:val="000000"/>
              </w:rPr>
              <w:t>БУЏЕТ ОПШТИНЕ АРИЉЕ</w:t>
            </w:r>
            <w:bookmarkStart w:id="196" w:name="_Toc411000_ПЛАТЕ,_ДОДАЦИ_И_НАКНАДЕ_ЗАПОС"/>
            <w:bookmarkEnd w:id="19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ПЛАТЕ, ДОДАЦИ И НАКНАДЕ ЗАПОСЛЕНИХ (ЗАРАДЕ)"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72.551.710,00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72.551.710,00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72.551.710,00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72.551.710,00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72.551.710,00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72.551.710,00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10,02</w:t>
            </w:r>
            <w:bookmarkStart w:id="197" w:name="_Toc412000_СОЦИЈАЛНИ_ДОПРИНОСИ_НА_ТЕРЕТ_"/>
            <w:bookmarkEnd w:id="19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СОЦИЈАЛНИ ДОПРИНОСИ НА ТЕРЕТ ПОСЛОДАВЦА"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7.255.020,00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7.255.020,00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7.255.020,00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3.736.350,00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3.736.350,00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3.736.350,00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10.991.370,00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10.991.370,00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10.991.370,00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1,52</w:t>
            </w:r>
            <w:bookmarkStart w:id="198" w:name="_Toc413000_НАКНАДЕ_У_НАТУРИ"/>
            <w:bookmarkEnd w:id="19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"413000 НАКНАДЕ У НАТУРИ" \l 1 </w:instrText>
            </w:r>
            <w:r>
              <w:rPr/>
              <w:fldChar w:fldCharType="separate"/>
            </w:r>
            <w:r>
              <w:rPr/>
            </w:r>
            <w:r>
              <w:rPr/>
              <w:fldChar w:fldCharType="end"/>
            </w:r>
          </w:p>
          <w:p>
            <w:pPr>
              <w:pStyle w:val="Normal"/>
              <w:jc w:val="center"/>
              <w:rPr>
                <w:color w:val="000000"/>
                <w:sz w:val="16"/>
                <w:szCs w:val="16"/>
              </w:rPr>
            </w:pPr>
            <w:r>
              <w:rPr>
                <w:color w:val="000000"/>
                <w:sz w:val="16"/>
                <w:szCs w:val="16"/>
              </w:rPr>
              <w:t>413000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0,10</w:t>
            </w:r>
            <w:bookmarkStart w:id="199" w:name="_Toc414000_СОЦИЈАЛНА_ДАВАЊА_ЗАПОСЛЕНИМА"/>
            <w:bookmarkEnd w:id="19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СОЦИЈАЛНА ДАВАЊА ЗАПОСЛЕНИМА"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2.770.000,00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2.770.000,00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2.770.000,00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0,38</w:t>
            </w:r>
            <w:bookmarkStart w:id="200" w:name="_Toc415000_НАКНАДЕ_ТРОШКОВА_ЗА_ЗАПОСЛЕНЕ"/>
            <w:bookmarkEnd w:id="20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НАКНАДЕ ТРОШКОВА ЗА ЗАПОСЛЕНЕ"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0,40</w:t>
            </w:r>
            <w:bookmarkStart w:id="201" w:name="_Toc421000_СТАЛНИ_ТРОШКОВИ"/>
            <w:bookmarkEnd w:id="20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СТАЛНИ ТРОШКОВИ"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5.930.000,00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5.930.000,00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5.930.000,00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56.581.000,00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56.581.000,00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56.581.000,00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7,81</w:t>
            </w:r>
            <w:bookmarkStart w:id="202" w:name="_Toc422000_ТРОШКОВИ_ПУТОВАЊА"/>
            <w:bookmarkEnd w:id="20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ТРОШКОВИ ПУТОВАЊА"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0,17</w:t>
            </w:r>
            <w:bookmarkStart w:id="203" w:name="_Toc423000_УСЛУГЕ_ПО_УГОВОРУ"/>
            <w:bookmarkEnd w:id="20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УСЛУГЕ ПО УГОВОРУ"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13.694.100,00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1.594.100,00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13.694.100,00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2.333.500,00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293.500,00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2.333.500,00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31.268.600,00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29.381.000,00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1.887.600,00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31.268.600,00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4,32</w:t>
            </w:r>
            <w:bookmarkStart w:id="204" w:name="_Toc424000_СПЕЦИЈАЛИЗОВАНЕ_УСЛУГЕ"/>
            <w:bookmarkEnd w:id="20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"424000 СПЕЦИЈАЛИЗОВАНЕ УСЛУГЕ" \l 1 </w:instrText>
            </w:r>
            <w:r>
              <w:rPr/>
              <w:fldChar w:fldCharType="separate"/>
            </w:r>
            <w:r>
              <w:rPr/>
            </w:r>
            <w:r>
              <w:rPr/>
              <w:fldChar w:fldCharType="end"/>
            </w:r>
          </w:p>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Пољопривредне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40.860.000,00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40.860.000,00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40.860.000,00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5,64</w:t>
            </w:r>
            <w:bookmarkStart w:id="205" w:name="_Toc425000_ТЕКУЋЕ_ПОПРАВКЕ_И_ОДРЖАВАЊЕ"/>
            <w:bookmarkEnd w:id="20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"425000 ТЕКУЋЕ ПОПРАВКЕ И ОДРЖАВАЊЕ" \l 1 </w:instrText>
            </w:r>
            <w:r>
              <w:rPr/>
              <w:fldChar w:fldCharType="separate"/>
            </w:r>
            <w:r>
              <w:rPr/>
            </w:r>
            <w:r>
              <w:rPr/>
              <w:fldChar w:fldCharType="end"/>
            </w:r>
          </w:p>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32.650.000,00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4,78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36.060.000,00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34.060.000,00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36.060.000,00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4,98</w:t>
            </w:r>
            <w:bookmarkStart w:id="206" w:name="_Toc426000_МАТЕРИЈАЛ"/>
            <w:bookmarkEnd w:id="20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МАТЕРИЈАЛ"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10.910.000,00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1,51</w:t>
            </w:r>
            <w:bookmarkStart w:id="207" w:name="_Toc451000_СУБВЕНЦИЈЕ_ЈАВНИМ_НЕФИНАНСИЈС"/>
            <w:bookmarkEnd w:id="20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"451000 СУБВЕНЦИЈЕ ЈАВНИМ НЕФИНАНСИЈСКИМ ПРЕДУЗЕЋИМА И ОРГАНИЗАЦИЈАМА" \l 1 </w:instrText>
            </w:r>
            <w:r>
              <w:rPr/>
              <w:fldChar w:fldCharType="separate"/>
            </w:r>
            <w:r>
              <w:rPr/>
            </w:r>
            <w:r>
              <w:rPr/>
              <w:fldChar w:fldCharType="end"/>
            </w:r>
          </w:p>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1,82</w:t>
            </w:r>
            <w:bookmarkStart w:id="208" w:name="_Toc454000_СУБВЕНЦИЈЕ_ПРИВАТНИМ_ПРЕДУЗЕЋ"/>
            <w:bookmarkEnd w:id="20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"454000 СУБВЕНЦИЈЕ ПРИВАТНИМ ПРЕДУЗЕЋИМА" \l 1 </w:instrText>
            </w:r>
            <w:r>
              <w:rPr/>
              <w:fldChar w:fldCharType="separate"/>
            </w:r>
            <w:r>
              <w:rPr/>
            </w:r>
            <w:r>
              <w:rPr/>
              <w:fldChar w:fldCharType="end"/>
            </w:r>
          </w:p>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1,31</w:t>
            </w:r>
            <w:bookmarkStart w:id="209" w:name="_Toc463000_ТРАНСФЕРИ_ОСТАЛИМ_НИВОИМА_ВЛА"/>
            <w:bookmarkEnd w:id="20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ТРАНСФЕРИ ОСТАЛИМ НИВОИМА ВЛАСТИ"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3.801.000,00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3.801.000,00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3.801.000,00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22.708.000,00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22.708.000,00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22.708.000,00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6.650.000,00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4,34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2.295.000,00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1.371.000,00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657.000,00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657.000,00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657.000,00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1.803.000,00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6.810.000,00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6.810.000,00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6.810.000,00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1.185.000,00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116.145.000,00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116.145.000,00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116.145.000,00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16,04</w:t>
            </w:r>
            <w:bookmarkStart w:id="210" w:name="_Toc464000_ДОТАЦИЈЕ_ОРГАНИЗАЦИЈАМА_ЗА_ОБ"/>
            <w:bookmarkEnd w:id="21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"464000 ДОТАЦИЈЕ ОРГАНИЗАЦИЈАМА ЗА ОБАВЕЗНО СОЦИЈАЛНО ОСИГУРАЊЕ" \l 1 </w:instrText>
            </w:r>
            <w:r>
              <w:rPr/>
              <w:fldChar w:fldCharType="separate"/>
            </w:r>
            <w:r>
              <w:rPr/>
            </w:r>
            <w:r>
              <w:rPr/>
              <w:fldChar w:fldCharType="end"/>
            </w:r>
          </w:p>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0,68</w:t>
            </w:r>
            <w:bookmarkStart w:id="211" w:name="_Toc472000_НАКНАДЕ_ЗА_СОЦИЈАЛНУ_ЗАШТИТУ_"/>
            <w:bookmarkEnd w:id="21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"472000 НАКНАДЕ ЗА СОЦИЈАЛНУ ЗАШТИТУ ИЗ БУЏЕТА" \l 1 </w:instrText>
            </w:r>
            <w:r>
              <w:rPr/>
              <w:fldChar w:fldCharType="separate"/>
            </w:r>
            <w:r>
              <w:rPr/>
            </w:r>
            <w:r>
              <w:rPr/>
              <w:fldChar w:fldCharType="end"/>
            </w:r>
          </w:p>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7.202.378,00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7.202.378,00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7.202.378,00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7,70</w:t>
            </w:r>
            <w:bookmarkStart w:id="212" w:name="_Toc481000_ДОТАЦИЈЕ_НЕВЛАДИНИМ_ОРГАНИЗАЦ"/>
            <w:bookmarkEnd w:id="21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"481000 ДОТАЦИЈЕ НЕВЛАДИНИМ ОРГАНИЗАЦИЈАМА"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35.081.430,00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32.968.430,00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2.113.000,00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35.081.430,00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37.481.430,00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35.368.430,00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2.113.000,00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37.481.430,00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5,18</w:t>
            </w:r>
            <w:bookmarkStart w:id="213" w:name="_Toc482000_ПОРЕЗИ,_ОБАВЕЗНЕ_ТАКСЕ,_КАЗНЕ"/>
            <w:bookmarkEnd w:id="21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"482000 ПОРЕЗИ, ОБАВЕЗНЕ ТАКСЕ, КАЗНЕ, ПЕНАЛИ И КАМАТЕ" \l 1 </w:instrText>
            </w:r>
            <w:r>
              <w:rPr/>
              <w:fldChar w:fldCharType="separate"/>
            </w:r>
            <w:r>
              <w:rPr/>
            </w:r>
            <w:r>
              <w:rPr/>
              <w:fldChar w:fldCharType="end"/>
            </w:r>
          </w:p>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0,06</w:t>
            </w:r>
            <w:bookmarkStart w:id="214" w:name="_Toc483000_НОВЧАНЕ_КАЗНЕ_И_ПЕНАЛИ_ПО_РЕШ"/>
            <w:bookmarkEnd w:id="21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"483000 НОВЧАНЕ КАЗНЕ И ПЕНАЛИ ПО РЕШЕЊУ СУДОВА" \l 1 </w:instrText>
            </w:r>
            <w:r>
              <w:rPr/>
              <w:fldChar w:fldCharType="separate"/>
            </w:r>
            <w:r>
              <w:rPr/>
            </w:r>
            <w:r>
              <w:rPr/>
              <w:fldChar w:fldCharType="end"/>
            </w:r>
          </w:p>
          <w:p>
            <w:pPr>
              <w:pStyle w:val="Normal"/>
              <w:jc w:val="center"/>
              <w:rPr>
                <w:color w:val="000000"/>
                <w:sz w:val="16"/>
                <w:szCs w:val="16"/>
              </w:rPr>
            </w:pPr>
            <w:r>
              <w:rPr>
                <w:color w:val="000000"/>
                <w:sz w:val="16"/>
                <w:szCs w:val="16"/>
              </w:rPr>
              <w:t>483000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1,38</w:t>
            </w:r>
            <w:bookmarkStart w:id="215" w:name="_Toc484000_НАКНАДА_ШТЕТЕ_ЗА_ПОВРЕДЕ_ИЛИ_"/>
            <w:bookmarkEnd w:id="21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"484000 НАКНАДА ШТЕТЕ ЗА ПОВРЕДЕ ИЛИ ШТЕТУ НАСТАЛУ УСЛЕД ЕЛЕМЕНТАРНИХ НЕПОГОДА ИЛИ ДРУГИХ ПРИРОДНИХ УЗРОКА" \l 1 </w:instrText>
            </w:r>
            <w:r>
              <w:rPr/>
              <w:fldChar w:fldCharType="separate"/>
            </w:r>
            <w:r>
              <w:rPr/>
            </w:r>
            <w:r>
              <w:rPr/>
              <w:fldChar w:fldCharType="end"/>
            </w:r>
          </w:p>
          <w:p>
            <w:pPr>
              <w:pStyle w:val="Normal"/>
              <w:jc w:val="center"/>
              <w:rPr>
                <w:color w:val="000000"/>
                <w:sz w:val="16"/>
                <w:szCs w:val="16"/>
              </w:rPr>
            </w:pPr>
            <w:r>
              <w:rPr>
                <w:color w:val="000000"/>
                <w:sz w:val="16"/>
                <w:szCs w:val="16"/>
              </w:rPr>
              <w:t>484000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0,14</w:t>
            </w:r>
            <w:bookmarkStart w:id="216" w:name="_Toc485000_НАКНАДА_ШТЕТЕ_ЗА_ПОВРЕДЕ_ИЛИ_"/>
            <w:bookmarkEnd w:id="21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"485000 НАКНАДА ШТЕТЕ ЗА ПОВРЕДЕ ИЛИ ШТЕТУ НАНЕТУ ОД СТРАНЕ ДРЖАВНИХ ОРГАНА" \l 1 </w:instrText>
            </w:r>
            <w:r>
              <w:rPr/>
              <w:fldChar w:fldCharType="separate"/>
            </w:r>
            <w:r>
              <w:rPr/>
            </w:r>
            <w:r>
              <w:rPr/>
              <w:fldChar w:fldCharType="end"/>
            </w:r>
          </w:p>
          <w:p>
            <w:pPr>
              <w:pStyle w:val="Normal"/>
              <w:jc w:val="center"/>
              <w:rPr>
                <w:color w:val="000000"/>
                <w:sz w:val="16"/>
                <w:szCs w:val="16"/>
              </w:rPr>
            </w:pPr>
            <w:r>
              <w:rPr>
                <w:color w:val="000000"/>
                <w:sz w:val="16"/>
                <w:szCs w:val="16"/>
              </w:rPr>
              <w:t>485000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0,69</w:t>
            </w:r>
            <w:bookmarkStart w:id="217" w:name="_Toc499000_СРЕДСТВА_РЕЗЕРВЕ"/>
            <w:bookmarkEnd w:id="21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"499000 СРЕДСТВА РЕЗЕРВЕ" \l 1 </w:instrText>
            </w:r>
            <w:r>
              <w:rPr/>
              <w:fldChar w:fldCharType="separate"/>
            </w:r>
            <w:r>
              <w:rPr/>
            </w:r>
            <w:r>
              <w:rPr/>
              <w:fldChar w:fldCharType="end"/>
            </w:r>
          </w:p>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499100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1,42</w:t>
            </w:r>
            <w:bookmarkStart w:id="218" w:name="_Toc511000_ЗГРАДЕ_И_ГРАЂЕВИНСКИ_ОБЈЕКТИ"/>
            <w:bookmarkEnd w:id="21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"511000 ЗГРАДЕ И ГРАЂЕВИНСКИ ОБЈЕКТИ" \l 1 </w:instrText>
            </w:r>
            <w:r>
              <w:rPr/>
              <w:fldChar w:fldCharType="separate"/>
            </w:r>
            <w:r>
              <w:rPr/>
            </w:r>
            <w:r>
              <w:rPr/>
              <w:fldChar w:fldCharType="end"/>
            </w:r>
          </w:p>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22,51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17.513.600,00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3.298.600,00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17.513.600,00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180.513.600,00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84.215.000,00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96.298.600,00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180.513.600,00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24,92</w:t>
            </w:r>
            <w:bookmarkStart w:id="219" w:name="_Toc512000_МАШИНЕ_И_ОПРЕМА"/>
            <w:bookmarkEnd w:id="21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"512000 МАШИНЕ И ОПРЕМА" \l 1 </w:instrText>
            </w:r>
            <w:r>
              <w:rPr/>
              <w:fldChar w:fldCharType="separate"/>
            </w:r>
            <w:r>
              <w:rPr/>
            </w:r>
            <w:r>
              <w:rPr/>
              <w:fldChar w:fldCharType="end"/>
            </w:r>
          </w:p>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0,62</w:t>
            </w:r>
            <w:bookmarkStart w:id="220" w:name="_Toc515000_НЕМАТЕРИЈАЛНА_ИМОВИНА"/>
            <w:bookmarkEnd w:id="22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"515000 НЕМАТЕРИЈАЛНА ИМОВИНА" \l 1 </w:instrText>
            </w:r>
            <w:r>
              <w:rPr/>
              <w:fldChar w:fldCharType="separate"/>
            </w:r>
            <w:r>
              <w:rPr/>
            </w:r>
            <w:r>
              <w:rPr/>
              <w:fldChar w:fldCharType="end"/>
            </w:r>
          </w:p>
          <w:p>
            <w:pPr>
              <w:pStyle w:val="Normal"/>
              <w:jc w:val="center"/>
              <w:rPr>
                <w:color w:val="000000"/>
                <w:sz w:val="16"/>
                <w:szCs w:val="16"/>
              </w:rPr>
            </w:pPr>
            <w:r>
              <w:rPr>
                <w:color w:val="000000"/>
                <w:sz w:val="16"/>
                <w:szCs w:val="16"/>
              </w:rPr>
              <w:t>515000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221" w:name="_Toc541000_ЗЕМЉИШТЕ"/>
            <w:bookmarkEnd w:id="22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"541000 ЗЕМЉИШТЕ" \l 1 </w:instrText>
            </w:r>
            <w:r>
              <w:rPr/>
              <w:fldChar w:fldCharType="separate"/>
            </w:r>
            <w:r>
              <w:rPr/>
            </w:r>
            <w:r>
              <w:rPr/>
              <w:fldChar w:fldCharType="end"/>
            </w:r>
          </w:p>
          <w:p>
            <w:pPr>
              <w:pStyle w:val="Normal"/>
              <w:jc w:val="center"/>
              <w:rPr>
                <w:color w:val="000000"/>
                <w:sz w:val="16"/>
                <w:szCs w:val="16"/>
              </w:rPr>
            </w:pPr>
            <w:r>
              <w:rPr>
                <w:color w:val="000000"/>
                <w:sz w:val="16"/>
                <w:szCs w:val="16"/>
              </w:rPr>
              <w:t>541000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541100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0,35</w:t>
            </w:r>
            <w:bookmarkStart w:id="222" w:name="_Toc621000_НАБАВКА_ДОМАЋЕ_ФИНАНСИЈСКЕ_ИМ"/>
            <w:bookmarkEnd w:id="22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"621000 НАБАВКА ДОМАЋЕ ФИНАНСИЈСКЕ ИМОВИНЕ" \l 1 </w:instrText>
            </w:r>
            <w:r>
              <w:rPr/>
              <w:fldChar w:fldCharType="separate"/>
            </w:r>
            <w:r>
              <w:rPr/>
            </w:r>
            <w:r>
              <w:rPr/>
              <w:fldChar w:fldCharType="end"/>
            </w:r>
          </w:p>
          <w:p>
            <w:pPr>
              <w:pStyle w:val="Normal"/>
              <w:jc w:val="center"/>
              <w:rPr>
                <w:color w:val="000000"/>
                <w:sz w:val="16"/>
                <w:szCs w:val="16"/>
              </w:rPr>
            </w:pPr>
            <w:r>
              <w:rPr>
                <w:color w:val="000000"/>
                <w:sz w:val="16"/>
                <w:szCs w:val="16"/>
              </w:rPr>
              <w:t>621000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621900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Набавка домаћих акција и осталог капитала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621000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0,83</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БК</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724.246.768,00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618.387.568,00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105.859.200,00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724.246.768,00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100,00</w:t>
            </w:r>
          </w:p>
        </w:tc>
      </w:tr>
    </w:tbl>
    <w:p>
      <w:pPr>
        <w:sectPr>
          <w:headerReference w:type="default" r:id="rId52"/>
          <w:headerReference w:type="first" r:id="rId53"/>
          <w:footerReference w:type="default" r:id="rId54"/>
          <w:footerReference w:type="first" r:id="rId55"/>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223" w:name="__bookmark_79"/>
      <w:bookmarkStart w:id="224" w:name="__bookmark_79"/>
      <w:bookmarkEnd w:id="224"/>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25" w:name="_Toc1_СКУПШТИНА_ОПШТИНЕ"/>
            <w:bookmarkStart w:id="226" w:name="_Toc1_СКУПШТИНА_ОПШТИНЕ"/>
            <w:bookmarkEnd w:id="226"/>
          </w:p>
        </w:tc>
      </w:tr>
      <w:tr>
        <w:trPr/>
        <w:tc>
          <w:tcPr>
            <w:tcW w:w="749" w:type="dxa"/>
            <w:tcBorders/>
          </w:tcPr>
          <w:p>
            <w:pPr>
              <w:pStyle w:val="Normal"/>
              <w:rPr>
                <w:vanish/>
              </w:rPr>
            </w:pPr>
            <w:r>
              <w:fldChar w:fldCharType="begin"/>
            </w:r>
            <w:r>
              <w:rPr/>
              <w:instrText xml:space="preserve"> TC "1 СКУПШТИНА ОПШТИНЕ"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1</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СКУПШТИНА ОПШТИНЕ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3.934.800,00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3.934.800,00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3.934.800,00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3.934.800,00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3.934.800,00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3.934.800,00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0,54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393.490,00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393.490,00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393.490,00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202.640,00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202.640,00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202.640,00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596.130,00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596.130,00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596.130,00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8.460.000,00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8.460.000,00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8.460.000,00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1,17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"481000"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768.430,00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768.430,00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768.430,00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768.430,00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768.430,00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768.430,00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1    СКУПШТИНА ОПШТИНЕ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14.289.360,00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14.289.360,00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14.289.360,00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1,97</w:t>
            </w:r>
          </w:p>
        </w:tc>
      </w:tr>
    </w:tbl>
    <w:p>
      <w:pPr>
        <w:sectPr>
          <w:headerReference w:type="default" r:id="rId56"/>
          <w:headerReference w:type="first" r:id="rId57"/>
          <w:footerReference w:type="default" r:id="rId58"/>
          <w:footerReference w:type="first" r:id="rId59"/>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27" w:name="_Toc2_ПРЕДСЕДНИК_ОПШТИНЕ"/>
            <w:bookmarkStart w:id="228" w:name="_Toc2_ПРЕДСЕДНИК_ОПШТИНЕ"/>
            <w:bookmarkEnd w:id="228"/>
          </w:p>
        </w:tc>
      </w:tr>
      <w:tr>
        <w:trPr/>
        <w:tc>
          <w:tcPr>
            <w:tcW w:w="749" w:type="dxa"/>
            <w:tcBorders/>
          </w:tcPr>
          <w:p>
            <w:pPr>
              <w:pStyle w:val="Normal"/>
              <w:rPr>
                <w:vanish/>
              </w:rPr>
            </w:pPr>
            <w:r>
              <w:fldChar w:fldCharType="begin"/>
            </w:r>
            <w:r>
              <w:rPr/>
              <w:instrText xml:space="preserve"> TC "2 ПРЕДСЕДНИК ОПШТИНЕ"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2</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ПРЕДСЕДНИК ОПШТИНЕ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5.763.830,00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5.763.830,00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5.763.830,00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5.763.830,00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5.763.830,00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5.763.830,00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0,80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576.380,00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296.840,00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296.840,00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296.840,00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873.220,00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873.220,00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873.220,00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2    ПРЕДСЕДНИК ОПШТИНЕ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8.187.050,00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8.187.050,00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8.187.050,00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1,13</w:t>
            </w:r>
          </w:p>
        </w:tc>
      </w:tr>
    </w:tbl>
    <w:p>
      <w:pPr>
        <w:sectPr>
          <w:headerReference w:type="default" r:id="rId60"/>
          <w:headerReference w:type="first" r:id="rId61"/>
          <w:footerReference w:type="default" r:id="rId62"/>
          <w:footerReference w:type="first" r:id="rId63"/>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29" w:name="_Toc3_ОПШТИНСКО_ВЕЋЕ"/>
            <w:bookmarkStart w:id="230" w:name="_Toc3_ОПШТИНСКО_ВЕЋЕ"/>
            <w:bookmarkEnd w:id="230"/>
          </w:p>
        </w:tc>
      </w:tr>
      <w:tr>
        <w:trPr/>
        <w:tc>
          <w:tcPr>
            <w:tcW w:w="749" w:type="dxa"/>
            <w:tcBorders/>
          </w:tcPr>
          <w:p>
            <w:pPr>
              <w:pStyle w:val="Normal"/>
              <w:rPr>
                <w:vanish/>
              </w:rPr>
            </w:pPr>
            <w:r>
              <w:fldChar w:fldCharType="begin"/>
            </w:r>
            <w:r>
              <w:rPr/>
              <w:instrText xml:space="preserve"> TC "3 ОПШТИНСКО ВЕЋЕ"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3</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ОПШТИНСКО ВЕЋЕ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0,25</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3    ОПШТИНСКО ВЕЋЕ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0,25</w:t>
            </w:r>
          </w:p>
        </w:tc>
      </w:tr>
    </w:tbl>
    <w:p>
      <w:pPr>
        <w:sectPr>
          <w:headerReference w:type="default" r:id="rId64"/>
          <w:headerReference w:type="first" r:id="rId65"/>
          <w:footerReference w:type="default" r:id="rId66"/>
          <w:footerReference w:type="first" r:id="rId67"/>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31" w:name="_Toc4_ОПШТИНСКИ_ПРАВОБРАНИЛАЦ"/>
            <w:bookmarkStart w:id="232" w:name="_Toc4_ОПШТИНСКИ_ПРАВОБРАНИЛАЦ"/>
            <w:bookmarkEnd w:id="232"/>
          </w:p>
        </w:tc>
      </w:tr>
      <w:tr>
        <w:trPr/>
        <w:tc>
          <w:tcPr>
            <w:tcW w:w="749" w:type="dxa"/>
            <w:tcBorders/>
          </w:tcPr>
          <w:p>
            <w:pPr>
              <w:pStyle w:val="Normal"/>
              <w:rPr>
                <w:vanish/>
              </w:rPr>
            </w:pPr>
            <w:r>
              <w:fldChar w:fldCharType="begin"/>
            </w:r>
            <w:r>
              <w:rPr/>
              <w:instrText xml:space="preserve"> TC "4 ОПШТИНСКИ ПРАВОБРАНИЛАЦ"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4</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ОПШТИНСКИ ПРАВОБРАНИЛАЦ</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2.063.800,00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2.063.800,00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2.063.800,00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2.063.800,00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2.063.800,00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2.063.800,00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0,28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206.300,00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106.280,00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106.280,00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106.280,00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312.580,00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312.580,00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312.580,00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4    ОПШТИНСКИ ПРАВОБРАНИЛАЦ</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3.006.380,00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3.006.380,00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3.006.380,00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0,42</w:t>
            </w:r>
          </w:p>
        </w:tc>
      </w:tr>
    </w:tbl>
    <w:p>
      <w:pPr>
        <w:sectPr>
          <w:headerReference w:type="default" r:id="rId68"/>
          <w:headerReference w:type="first" r:id="rId69"/>
          <w:footerReference w:type="default" r:id="rId70"/>
          <w:footerReference w:type="first" r:id="rId71"/>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p>
        </w:tc>
      </w:tr>
      <w:tr>
        <w:trPr/>
        <w:tc>
          <w:tcPr>
            <w:tcW w:w="749" w:type="dxa"/>
            <w:tcBorders/>
          </w:tcPr>
          <w:p>
            <w:pPr>
              <w:pStyle w:val="Normal"/>
              <w:rPr>
                <w:vanish/>
              </w:rPr>
            </w:pPr>
            <w:r>
              <w:fldChar w:fldCharType="begin"/>
            </w:r>
            <w:r>
              <w:rPr/>
              <w:instrText xml:space="preserve"> TC "5 ОПШТИНСКА УПРАВА"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ОПШТИНСКА УПРАВА</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bookmarkStart w:id="233" w:name="_Toc411000"/>
            <w:bookmarkEnd w:id="23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"411000" \l 1 </w:instrText>
            </w:r>
            <w:r>
              <w:rPr/>
              <w:fldChar w:fldCharType="separate"/>
            </w:r>
            <w:r>
              <w:rPr/>
            </w:r>
            <w:r>
              <w:rPr/>
              <w:fldChar w:fldCharType="end"/>
            </w:r>
          </w:p>
          <w:p>
            <w:pPr>
              <w:pStyle w:val="Normal"/>
              <w:jc w:val="center"/>
              <w:rPr>
                <w:color w:val="000000"/>
                <w:sz w:val="16"/>
                <w:szCs w:val="16"/>
              </w:rPr>
            </w:pPr>
            <w:r>
              <w:rPr>
                <w:color w:val="000000"/>
                <w:sz w:val="16"/>
                <w:szCs w:val="16"/>
              </w:rPr>
              <w:t>411000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60.789.280,00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60.789.280,00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60.789.280,00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8,39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60.789.280,00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60.789.280,00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60.789.280,00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8,39</w:t>
            </w:r>
            <w:bookmarkStart w:id="234" w:name="_Toc412000"/>
            <w:bookmarkEnd w:id="23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"412000" \l 1 </w:instrText>
            </w:r>
            <w:r>
              <w:rPr/>
              <w:fldChar w:fldCharType="separate"/>
            </w:r>
            <w:r>
              <w:rPr/>
            </w:r>
            <w:r>
              <w:rPr/>
              <w:fldChar w:fldCharType="end"/>
            </w:r>
          </w:p>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6.078.850,00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6.078.850,00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6.078.850,00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3.130.590,00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3.130.590,00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3.130.590,00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9.209.440,00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9.209.440,00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9.209.440,00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1,27</w:t>
            </w:r>
            <w:bookmarkStart w:id="235" w:name="_Toc413000"/>
            <w:bookmarkEnd w:id="23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"413000" \l 1 </w:instrText>
            </w:r>
            <w:r>
              <w:rPr/>
              <w:fldChar w:fldCharType="separate"/>
            </w:r>
            <w:r>
              <w:rPr/>
            </w:r>
            <w:r>
              <w:rPr/>
              <w:fldChar w:fldCharType="end"/>
            </w:r>
          </w:p>
          <w:p>
            <w:pPr>
              <w:pStyle w:val="Normal"/>
              <w:jc w:val="center"/>
              <w:rPr>
                <w:color w:val="000000"/>
                <w:sz w:val="16"/>
                <w:szCs w:val="16"/>
              </w:rPr>
            </w:pPr>
            <w:r>
              <w:rPr>
                <w:color w:val="000000"/>
                <w:sz w:val="16"/>
                <w:szCs w:val="16"/>
              </w:rPr>
              <w:t>413000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0,10</w:t>
            </w:r>
            <w:bookmarkStart w:id="236" w:name="_Toc414000"/>
            <w:bookmarkEnd w:id="23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"414000" \l 1 </w:instrText>
            </w:r>
            <w:r>
              <w:rPr/>
              <w:fldChar w:fldCharType="separate"/>
            </w:r>
            <w:r>
              <w:rPr/>
            </w:r>
            <w:r>
              <w:rPr/>
              <w:fldChar w:fldCharType="end"/>
            </w:r>
          </w:p>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0,33</w:t>
            </w:r>
            <w:bookmarkStart w:id="237" w:name="_Toc415000"/>
            <w:bookmarkEnd w:id="23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"415000" \l 1 </w:instrText>
            </w:r>
            <w:r>
              <w:rPr/>
              <w:fldChar w:fldCharType="separate"/>
            </w:r>
            <w:r>
              <w:rPr/>
            </w:r>
            <w:r>
              <w:rPr/>
              <w:fldChar w:fldCharType="end"/>
            </w:r>
          </w:p>
          <w:p>
            <w:pPr>
              <w:pStyle w:val="Normal"/>
              <w:jc w:val="center"/>
              <w:rPr>
                <w:color w:val="000000"/>
                <w:sz w:val="16"/>
                <w:szCs w:val="16"/>
              </w:rPr>
            </w:pPr>
            <w:r>
              <w:rPr>
                <w:color w:val="000000"/>
                <w:sz w:val="16"/>
                <w:szCs w:val="16"/>
              </w:rPr>
              <w:t>415000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0,33</w:t>
            </w:r>
            <w:bookmarkStart w:id="238" w:name="_Toc421000"/>
            <w:bookmarkEnd w:id="23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"421000" \l 1 </w:instrText>
            </w:r>
            <w:r>
              <w:rPr/>
              <w:fldChar w:fldCharType="separate"/>
            </w:r>
            <w:r>
              <w:rPr/>
            </w:r>
            <w:r>
              <w:rPr/>
              <w:fldChar w:fldCharType="end"/>
            </w:r>
          </w:p>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56.151.000,00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56.151.000,00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56.151.000,00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7,75</w:t>
            </w:r>
            <w:bookmarkStart w:id="239" w:name="_Toc422000"/>
            <w:bookmarkEnd w:id="23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"422000" \l 1 </w:instrText>
            </w:r>
            <w:r>
              <w:rPr/>
              <w:fldChar w:fldCharType="separate"/>
            </w:r>
            <w:r>
              <w:rPr/>
            </w:r>
            <w:r>
              <w:rPr/>
              <w:fldChar w:fldCharType="end"/>
            </w:r>
          </w:p>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0,14</w:t>
            </w:r>
            <w:bookmarkStart w:id="240" w:name="_Toc423000"/>
            <w:bookmarkEnd w:id="24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"423000" \l 1 </w:instrText>
            </w:r>
            <w:r>
              <w:rPr/>
              <w:fldChar w:fldCharType="separate"/>
            </w:r>
            <w:r>
              <w:rPr/>
            </w:r>
            <w:r>
              <w:rPr/>
              <w:fldChar w:fldCharType="end"/>
            </w:r>
          </w:p>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4.094.100,00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1.594.100,00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4.094.100,00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1.483.500,00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293.500,00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1.483.500,00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20.028.600,00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18.141.000,00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1.887.600,00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20.028.600,00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2,77</w:t>
            </w:r>
            <w:bookmarkStart w:id="241" w:name="_Toc424000"/>
            <w:bookmarkEnd w:id="24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"424000" \l 1 </w:instrText>
            </w:r>
            <w:r>
              <w:rPr/>
              <w:fldChar w:fldCharType="separate"/>
            </w:r>
            <w:r>
              <w:rPr/>
            </w:r>
            <w:r>
              <w:rPr/>
              <w:fldChar w:fldCharType="end"/>
            </w:r>
          </w:p>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Пољопривредне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1.950.000,00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13.054.000,00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40.860.000,00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40.860.000,00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40.860.000,00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5,64</w:t>
            </w:r>
            <w:bookmarkStart w:id="242" w:name="_Toc425000"/>
            <w:bookmarkEnd w:id="24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"425000" \l 1 </w:instrText>
            </w:r>
            <w:r>
              <w:rPr/>
              <w:fldChar w:fldCharType="separate"/>
            </w:r>
            <w:r>
              <w:rPr/>
            </w:r>
            <w:r>
              <w:rPr/>
              <w:fldChar w:fldCharType="end"/>
            </w:r>
          </w:p>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32.650.000,00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34.650.000,00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4,78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36.060.000,00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34.060.000,00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36.060.000,00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4,98</w:t>
            </w:r>
            <w:bookmarkStart w:id="243" w:name="_Toc426000"/>
            <w:bookmarkEnd w:id="24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"426000" \l 1 </w:instrText>
            </w:r>
            <w:r>
              <w:rPr/>
              <w:fldChar w:fldCharType="separate"/>
            </w:r>
            <w:r>
              <w:rPr/>
            </w:r>
            <w:r>
              <w:rPr/>
              <w:fldChar w:fldCharType="end"/>
            </w:r>
          </w:p>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10.710.000,00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10.710.000,00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10.710.000,00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1,48</w:t>
            </w:r>
            <w:bookmarkStart w:id="244" w:name="_Toc451000"/>
            <w:bookmarkEnd w:id="24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"451000" \l 1 </w:instrText>
            </w:r>
            <w:r>
              <w:rPr/>
              <w:fldChar w:fldCharType="separate"/>
            </w:r>
            <w:r>
              <w:rPr/>
            </w:r>
            <w:r>
              <w:rPr/>
              <w:fldChar w:fldCharType="end"/>
            </w:r>
          </w:p>
          <w:p>
            <w:pPr>
              <w:pStyle w:val="Normal"/>
              <w:jc w:val="center"/>
              <w:rPr>
                <w:color w:val="000000"/>
                <w:sz w:val="16"/>
                <w:szCs w:val="16"/>
              </w:rPr>
            </w:pPr>
            <w:r>
              <w:rPr>
                <w:color w:val="000000"/>
                <w:sz w:val="16"/>
                <w:szCs w:val="16"/>
              </w:rPr>
              <w:t>451000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1,82</w:t>
            </w:r>
            <w:bookmarkStart w:id="245" w:name="_Toc454000"/>
            <w:bookmarkEnd w:id="24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"454000" \l 1 </w:instrText>
            </w:r>
            <w:r>
              <w:rPr/>
              <w:fldChar w:fldCharType="separate"/>
            </w:r>
            <w:r>
              <w:rPr/>
            </w:r>
            <w:r>
              <w:rPr/>
              <w:fldChar w:fldCharType="end"/>
            </w:r>
          </w:p>
          <w:p>
            <w:pPr>
              <w:pStyle w:val="Normal"/>
              <w:jc w:val="center"/>
              <w:rPr>
                <w:color w:val="000000"/>
                <w:sz w:val="16"/>
                <w:szCs w:val="16"/>
              </w:rPr>
            </w:pPr>
            <w:r>
              <w:rPr>
                <w:color w:val="000000"/>
                <w:sz w:val="16"/>
                <w:szCs w:val="16"/>
              </w:rPr>
              <w:t>454000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454100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Текући 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510.000,00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0,07</w:t>
            </w:r>
            <w:bookmarkStart w:id="246" w:name="_Toc464000"/>
            <w:bookmarkEnd w:id="24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"464000" \l 1 </w:instrText>
            </w:r>
            <w:r>
              <w:rPr/>
              <w:fldChar w:fldCharType="separate"/>
            </w:r>
            <w:r>
              <w:rPr/>
            </w:r>
            <w:r>
              <w:rPr/>
              <w:fldChar w:fldCharType="end"/>
            </w:r>
          </w:p>
          <w:p>
            <w:pPr>
              <w:pStyle w:val="Normal"/>
              <w:jc w:val="center"/>
              <w:rPr>
                <w:color w:val="000000"/>
                <w:sz w:val="16"/>
                <w:szCs w:val="16"/>
              </w:rPr>
            </w:pPr>
            <w:r>
              <w:rPr>
                <w:color w:val="000000"/>
                <w:sz w:val="16"/>
                <w:szCs w:val="16"/>
              </w:rPr>
              <w:t>464000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4.941.680,00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0,68</w:t>
            </w:r>
            <w:bookmarkStart w:id="247" w:name="_Toc472000"/>
            <w:bookmarkEnd w:id="24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"472000" \l 1 </w:instrText>
            </w:r>
            <w:r>
              <w:rPr/>
              <w:fldChar w:fldCharType="separate"/>
            </w:r>
            <w:r>
              <w:rPr/>
            </w:r>
            <w:r>
              <w:rPr/>
              <w:fldChar w:fldCharType="end"/>
            </w:r>
          </w:p>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7.202.378,00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7.202.378,00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7.202.378,00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55.802.378,00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7,70</w:t>
            </w:r>
            <w:bookmarkStart w:id="248" w:name="_Toc481000"/>
            <w:bookmarkEnd w:id="24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"481000" \l 1 </w:instrText>
            </w:r>
            <w:r>
              <w:rPr/>
              <w:fldChar w:fldCharType="separate"/>
            </w:r>
            <w:r>
              <w:rPr/>
            </w:r>
            <w:r>
              <w:rPr/>
              <w:fldChar w:fldCharType="end"/>
            </w:r>
          </w:p>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непрофитним организацијама које пружају помоћ домаћинствима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34.313.000,00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2.113.000,00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34.313.000,00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4,74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36.713.000,00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34.600.000,00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2.113.000,00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36.713.000,00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5,07</w:t>
            </w:r>
            <w:bookmarkStart w:id="249" w:name="_Toc482000"/>
            <w:bookmarkEnd w:id="249"/>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"482000" \l 1 </w:instrText>
            </w:r>
            <w:r>
              <w:rPr/>
              <w:fldChar w:fldCharType="separate"/>
            </w:r>
            <w:r>
              <w:rPr/>
            </w:r>
            <w:r>
              <w:rPr/>
              <w:fldChar w:fldCharType="end"/>
            </w:r>
          </w:p>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0,06</w:t>
            </w:r>
            <w:bookmarkStart w:id="250" w:name="_Toc483000"/>
            <w:bookmarkEnd w:id="250"/>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"483000" \l 1 </w:instrText>
            </w:r>
            <w:r>
              <w:rPr/>
              <w:fldChar w:fldCharType="separate"/>
            </w:r>
            <w:r>
              <w:rPr/>
            </w:r>
            <w:r>
              <w:rPr/>
              <w:fldChar w:fldCharType="end"/>
            </w:r>
          </w:p>
          <w:p>
            <w:pPr>
              <w:pStyle w:val="Normal"/>
              <w:jc w:val="center"/>
              <w:rPr>
                <w:color w:val="000000"/>
                <w:sz w:val="16"/>
                <w:szCs w:val="16"/>
              </w:rPr>
            </w:pPr>
            <w:r>
              <w:rPr>
                <w:color w:val="000000"/>
                <w:sz w:val="16"/>
                <w:szCs w:val="16"/>
              </w:rPr>
              <w:t>483000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1,38</w:t>
            </w:r>
            <w:bookmarkStart w:id="251" w:name="_Toc484000"/>
            <w:bookmarkEnd w:id="251"/>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"484000" \l 1 </w:instrText>
            </w:r>
            <w:r>
              <w:rPr/>
              <w:fldChar w:fldCharType="separate"/>
            </w:r>
            <w:r>
              <w:rPr/>
            </w:r>
            <w:r>
              <w:rPr/>
              <w:fldChar w:fldCharType="end"/>
            </w:r>
          </w:p>
          <w:p>
            <w:pPr>
              <w:pStyle w:val="Normal"/>
              <w:jc w:val="center"/>
              <w:rPr>
                <w:color w:val="000000"/>
                <w:sz w:val="16"/>
                <w:szCs w:val="16"/>
              </w:rPr>
            </w:pPr>
            <w:r>
              <w:rPr>
                <w:color w:val="000000"/>
                <w:sz w:val="16"/>
                <w:szCs w:val="16"/>
              </w:rPr>
              <w:t>484000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484100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0,14</w:t>
            </w:r>
            <w:bookmarkStart w:id="252" w:name="_Toc485000"/>
            <w:bookmarkEnd w:id="252"/>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"485000" \l 1 </w:instrText>
            </w:r>
            <w:r>
              <w:rPr/>
              <w:fldChar w:fldCharType="separate"/>
            </w:r>
            <w:r>
              <w:rPr/>
            </w:r>
            <w:r>
              <w:rPr/>
              <w:fldChar w:fldCharType="end"/>
            </w:r>
          </w:p>
          <w:p>
            <w:pPr>
              <w:pStyle w:val="Normal"/>
              <w:jc w:val="center"/>
              <w:rPr>
                <w:color w:val="000000"/>
                <w:sz w:val="16"/>
                <w:szCs w:val="16"/>
              </w:rPr>
            </w:pPr>
            <w:r>
              <w:rPr>
                <w:color w:val="000000"/>
                <w:sz w:val="16"/>
                <w:szCs w:val="16"/>
              </w:rPr>
              <w:t>485000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0,69</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5.000.000,00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0,69</w:t>
            </w:r>
            <w:bookmarkStart w:id="253" w:name="_Toc499000"/>
            <w:bookmarkEnd w:id="25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"499000" \l 1 </w:instrText>
            </w:r>
            <w:r>
              <w:rPr/>
              <w:fldChar w:fldCharType="separate"/>
            </w:r>
            <w:r>
              <w:rPr/>
            </w:r>
            <w:r>
              <w:rPr/>
              <w:fldChar w:fldCharType="end"/>
            </w:r>
          </w:p>
          <w:p>
            <w:pPr>
              <w:pStyle w:val="Normal"/>
              <w:jc w:val="center"/>
              <w:rPr>
                <w:color w:val="000000"/>
                <w:sz w:val="16"/>
                <w:szCs w:val="16"/>
              </w:rPr>
            </w:pPr>
            <w:r>
              <w:rPr>
                <w:color w:val="000000"/>
                <w:sz w:val="16"/>
                <w:szCs w:val="16"/>
              </w:rPr>
              <w:t>499000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499100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10.300.000,00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1,42</w:t>
            </w:r>
            <w:bookmarkStart w:id="254" w:name="_Toc511000"/>
            <w:bookmarkEnd w:id="254"/>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"511000" \l 1 </w:instrText>
            </w:r>
            <w:r>
              <w:rPr/>
              <w:fldChar w:fldCharType="separate"/>
            </w:r>
            <w:r>
              <w:rPr/>
            </w:r>
            <w:r>
              <w:rPr/>
              <w:fldChar w:fldCharType="end"/>
            </w:r>
          </w:p>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22,51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17.513.600,00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14.215.000,00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3.298.600,00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17.513.600,00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180.513.600,00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84.215.000,00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96.298.600,00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180.513.600,00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24,92</w:t>
            </w:r>
            <w:bookmarkStart w:id="255" w:name="_Toc512000"/>
            <w:bookmarkEnd w:id="255"/>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"512000" \l 1 </w:instrText>
            </w:r>
            <w:r>
              <w:rPr/>
              <w:fldChar w:fldCharType="separate"/>
            </w:r>
            <w:r>
              <w:rPr/>
            </w:r>
            <w:r>
              <w:rPr/>
              <w:fldChar w:fldCharType="end"/>
            </w:r>
          </w:p>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0,62</w:t>
            </w:r>
            <w:bookmarkStart w:id="256" w:name="_Toc515000"/>
            <w:bookmarkEnd w:id="256"/>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"515000" \l 1 </w:instrText>
            </w:r>
            <w:r>
              <w:rPr/>
              <w:fldChar w:fldCharType="separate"/>
            </w:r>
            <w:r>
              <w:rPr/>
            </w:r>
            <w:r>
              <w:rPr/>
              <w:fldChar w:fldCharType="end"/>
            </w:r>
          </w:p>
          <w:p>
            <w:pPr>
              <w:pStyle w:val="Normal"/>
              <w:jc w:val="center"/>
              <w:rPr>
                <w:color w:val="000000"/>
                <w:sz w:val="16"/>
                <w:szCs w:val="16"/>
              </w:rPr>
            </w:pPr>
            <w:r>
              <w:rPr>
                <w:color w:val="000000"/>
                <w:sz w:val="16"/>
                <w:szCs w:val="16"/>
              </w:rPr>
              <w:t>515000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bookmarkStart w:id="257" w:name="_Toc541000"/>
            <w:bookmarkEnd w:id="257"/>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"541000" \l 1 </w:instrText>
            </w:r>
            <w:r>
              <w:rPr/>
              <w:fldChar w:fldCharType="separate"/>
            </w:r>
            <w:r>
              <w:rPr/>
            </w:r>
            <w:r>
              <w:rPr/>
              <w:fldChar w:fldCharType="end"/>
            </w:r>
          </w:p>
          <w:p>
            <w:pPr>
              <w:pStyle w:val="Normal"/>
              <w:jc w:val="center"/>
              <w:rPr>
                <w:color w:val="000000"/>
                <w:sz w:val="16"/>
                <w:szCs w:val="16"/>
              </w:rPr>
            </w:pPr>
            <w:r>
              <w:rPr>
                <w:color w:val="000000"/>
                <w:sz w:val="16"/>
                <w:szCs w:val="16"/>
              </w:rPr>
              <w:t>541000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541100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0,35</w:t>
            </w:r>
            <w:bookmarkStart w:id="258" w:name="_Toc621000"/>
            <w:bookmarkEnd w:id="258"/>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"621000" \l 1 </w:instrText>
            </w:r>
            <w:r>
              <w:rPr/>
              <w:fldChar w:fldCharType="separate"/>
            </w:r>
            <w:r>
              <w:rPr/>
            </w:r>
            <w:r>
              <w:rPr/>
              <w:fldChar w:fldCharType="end"/>
            </w:r>
          </w:p>
          <w:p>
            <w:pPr>
              <w:pStyle w:val="Normal"/>
              <w:jc w:val="center"/>
              <w:rPr>
                <w:color w:val="000000"/>
                <w:sz w:val="16"/>
                <w:szCs w:val="16"/>
              </w:rPr>
            </w:pPr>
            <w:r>
              <w:rPr>
                <w:color w:val="000000"/>
                <w:sz w:val="16"/>
                <w:szCs w:val="16"/>
              </w:rPr>
              <w:t>621000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621900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Набавка домаћих акција и осталог капитала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0,83</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621000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6.000.000,00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0,83</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    ОПШТИНСКА УПРАВА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581.328.978,00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475.469.778,00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105.859.200,00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581.328.978,00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80,27</w:t>
            </w:r>
          </w:p>
        </w:tc>
      </w:tr>
    </w:tbl>
    <w:p>
      <w:pPr>
        <w:sectPr>
          <w:headerReference w:type="default" r:id="rId72"/>
          <w:headerReference w:type="first" r:id="rId73"/>
          <w:footerReference w:type="default" r:id="rId74"/>
          <w:footerReference w:type="first" r:id="rId75"/>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59" w:name="_Toc5.00.01_СРЕДЊА_ШКОЛА_СВЕТИ_АХИЛИЈЕ"/>
            <w:bookmarkStart w:id="260" w:name="_Toc5.00.01_СРЕДЊА_ШКОЛА_СВЕТИ_АХИЛИЈЕ"/>
            <w:bookmarkEnd w:id="260"/>
          </w:p>
        </w:tc>
      </w:tr>
      <w:tr>
        <w:trPr/>
        <w:tc>
          <w:tcPr>
            <w:tcW w:w="749" w:type="dxa"/>
            <w:tcBorders/>
          </w:tcPr>
          <w:p>
            <w:pPr>
              <w:pStyle w:val="Normal"/>
              <w:rPr>
                <w:vanish/>
              </w:rPr>
            </w:pPr>
            <w:r>
              <w:fldChar w:fldCharType="begin"/>
            </w:r>
            <w:r>
              <w:rPr/>
              <w:instrText xml:space="preserve"> TC "5.00.01 СРЕДЊА ШКОЛА СВЕТИ АХИЛИЈЕ"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5.00.01</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СРЕДЊА ШКОЛА СВЕТИ АХИЛИЈЕ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0,97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581.000,00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217.000,00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217.000,00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217.000,00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498.000,00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63.000,00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19.842.000,00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2,74</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5.00.01    СРЕДЊА ШКОЛА СВЕТИ АХИЛИЈЕ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19.842.000,00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19.842.000,00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19.842.000,00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2,74</w:t>
            </w:r>
          </w:p>
        </w:tc>
      </w:tr>
    </w:tbl>
    <w:p>
      <w:pPr>
        <w:sectPr>
          <w:headerReference w:type="default" r:id="rId76"/>
          <w:headerReference w:type="first" r:id="rId77"/>
          <w:footerReference w:type="default" r:id="rId78"/>
          <w:footerReference w:type="first" r:id="rId79"/>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61" w:name="_Toc5.00.02_ОСНОВНА_ШКОЛА_ЈЕЗДИМИР_ТРИПК"/>
            <w:bookmarkStart w:id="262" w:name="_Toc5.00.02_ОСНОВНА_ШКОЛА_ЈЕЗДИМИР_ТРИПК"/>
            <w:bookmarkEnd w:id="262"/>
          </w:p>
        </w:tc>
      </w:tr>
      <w:tr>
        <w:trPr/>
        <w:tc>
          <w:tcPr>
            <w:tcW w:w="749" w:type="dxa"/>
            <w:tcBorders/>
          </w:tcPr>
          <w:p>
            <w:pPr>
              <w:pStyle w:val="Normal"/>
              <w:rPr>
                <w:vanish/>
              </w:rPr>
            </w:pPr>
            <w:r>
              <w:fldChar w:fldCharType="begin"/>
            </w:r>
            <w:r>
              <w:rPr/>
              <w:instrText xml:space="preserve"> TC "5.00.02 ОСНОВНА ШКОЛА ЈЕЗДИМИР ТРИПКОВИЋ ЛАТВИЦА"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5.00.02</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ЈЕЗДИМИР ТРИПКОВИЋ ЛАТВИЦА</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0,56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0,35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пољопривреду</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19.402.000,00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19.402.000,00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19.402.000,00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2,68</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5.00.02    ОСНОВНА ШКОЛА ЈЕЗДИМИР ТРИПКОВИЋ ЛАТВИЦА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19.402.000,00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19.402.000,00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19.402.000,00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2,68</w:t>
            </w:r>
          </w:p>
        </w:tc>
      </w:tr>
    </w:tbl>
    <w:p>
      <w:pPr>
        <w:sectPr>
          <w:headerReference w:type="default" r:id="rId80"/>
          <w:headerReference w:type="first" r:id="rId81"/>
          <w:footerReference w:type="default" r:id="rId82"/>
          <w:footerReference w:type="first" r:id="rId83"/>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63" w:name="_Toc5.00.03_ОСНОВНА_ШКОЛА_РАТКО_ЈОВАНОВИ"/>
            <w:bookmarkStart w:id="264" w:name="_Toc5.00.03_ОСНОВНА_ШКОЛА_РАТКО_ЈОВАНОВИ"/>
            <w:bookmarkEnd w:id="264"/>
          </w:p>
        </w:tc>
      </w:tr>
      <w:tr>
        <w:trPr/>
        <w:tc>
          <w:tcPr>
            <w:tcW w:w="749" w:type="dxa"/>
            <w:tcBorders/>
          </w:tcPr>
          <w:p>
            <w:pPr>
              <w:pStyle w:val="Normal"/>
              <w:rPr>
                <w:vanish/>
              </w:rPr>
            </w:pPr>
            <w:r>
              <w:fldChar w:fldCharType="begin"/>
            </w:r>
            <w:r>
              <w:rPr/>
              <w:instrText xml:space="preserve"> TC "5.00.03 ОСНОВНА ШКОЛА РАТКО ЈОВАНОВИЋ КРУШЧИЦА"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5.00.03</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РАТКО ЈОВАНОВИЋ КРУШЧИЦА</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15.411.000,00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15.411.000,00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15.411.000,00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2,13</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5.00.03    ОСНОВНА ШКОЛА РАТКО ЈОВАНОВИЋ КРУШЧИЦА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15.411.000,00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15.411.000,00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15.411.000,00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2,13</w:t>
            </w:r>
          </w:p>
        </w:tc>
      </w:tr>
    </w:tbl>
    <w:p>
      <w:pPr>
        <w:sectPr>
          <w:headerReference w:type="default" r:id="rId84"/>
          <w:headerReference w:type="first" r:id="rId85"/>
          <w:footerReference w:type="default" r:id="rId86"/>
          <w:footerReference w:type="first" r:id="rId87"/>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65" w:name="_Toc5.00.04_ОСНОВНА_ШКОЛА_СТЕВАН_ЧОЛОВИЋ"/>
            <w:bookmarkStart w:id="266" w:name="_Toc5.00.04_ОСНОВНА_ШКОЛА_СТЕВАН_ЧОЛОВИЋ"/>
            <w:bookmarkEnd w:id="266"/>
          </w:p>
        </w:tc>
      </w:tr>
      <w:tr>
        <w:trPr/>
        <w:tc>
          <w:tcPr>
            <w:tcW w:w="749" w:type="dxa"/>
            <w:tcBorders/>
          </w:tcPr>
          <w:p>
            <w:pPr>
              <w:pStyle w:val="Normal"/>
              <w:rPr>
                <w:vanish/>
              </w:rPr>
            </w:pPr>
            <w:r>
              <w:fldChar w:fldCharType="begin"/>
            </w:r>
            <w:r>
              <w:rPr/>
              <w:instrText xml:space="preserve"> TC "5.00.04 ОСНОВНА ШКОЛА СТЕВАН ЧОЛОВИЋ АРИЉЕ"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5.00.04</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СТЕВАН ЧОЛОВИЋ АРИЉЕ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17.000.000,00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2,35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424300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270.000,00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720.000,00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33.780.000,00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33.780.000,00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33.780.000,00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4,66</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5.00.04    ОСНОВНА ШКОЛА СТЕВАН ЧОЛОВИЋ АРИЉЕ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33.780.000,00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33.780.000,00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33.780.000,00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4,66</w:t>
            </w:r>
          </w:p>
        </w:tc>
      </w:tr>
    </w:tbl>
    <w:p>
      <w:pPr>
        <w:sectPr>
          <w:headerReference w:type="default" r:id="rId88"/>
          <w:headerReference w:type="first" r:id="rId89"/>
          <w:footerReference w:type="default" r:id="rId90"/>
          <w:footerReference w:type="first" r:id="rId91"/>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67" w:name="_Toc5.00.05_ОСНОВНА_ШКОЛА_БРЕКОВО"/>
            <w:bookmarkStart w:id="268" w:name="_Toc5.00.05_ОСНОВНА_ШКОЛА_БРЕКОВО"/>
            <w:bookmarkEnd w:id="268"/>
          </w:p>
        </w:tc>
      </w:tr>
      <w:tr>
        <w:trPr/>
        <w:tc>
          <w:tcPr>
            <w:tcW w:w="749" w:type="dxa"/>
            <w:tcBorders/>
          </w:tcPr>
          <w:p>
            <w:pPr>
              <w:pStyle w:val="Normal"/>
              <w:rPr>
                <w:vanish/>
              </w:rPr>
            </w:pPr>
            <w:r>
              <w:fldChar w:fldCharType="begin"/>
            </w:r>
            <w:r>
              <w:rPr/>
              <w:instrText xml:space="preserve"> TC "5.00.05 ОСНОВНА ШКОЛА БРЕКОВО"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5.00.05</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ОСНОВНА ШКОЛА БРЕКОВО</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0,08</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0,62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0,29</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2.900.000,00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0,40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423700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1.650.000,00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330.000,00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426600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0,07</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16.041.000,00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16.041.000,00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16.041.000,00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2,21</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5.00.05    ОСНОВНА ШКОЛА БРЕКОВО</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16.041.000,00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16.041.000,00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16.041.000,00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2,21</w:t>
            </w:r>
          </w:p>
        </w:tc>
      </w:tr>
    </w:tbl>
    <w:p>
      <w:pPr>
        <w:sectPr>
          <w:headerReference w:type="default" r:id="rId92"/>
          <w:headerReference w:type="first" r:id="rId93"/>
          <w:footerReference w:type="default" r:id="rId94"/>
          <w:footerReference w:type="first" r:id="rId95"/>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69" w:name="_Toc5.00.06_ЦЕНТАР_ЗА_СОЦИЈАЛНИ_РАД"/>
            <w:bookmarkStart w:id="270" w:name="_Toc5.00.06_ЦЕНТАР_ЗА_СОЦИЈАЛНИ_РАД"/>
            <w:bookmarkEnd w:id="270"/>
          </w:p>
        </w:tc>
      </w:tr>
      <w:tr>
        <w:trPr/>
        <w:tc>
          <w:tcPr>
            <w:tcW w:w="749" w:type="dxa"/>
            <w:tcBorders/>
          </w:tcPr>
          <w:p>
            <w:pPr>
              <w:pStyle w:val="Normal"/>
              <w:rPr>
                <w:vanish/>
              </w:rPr>
            </w:pPr>
            <w:r>
              <w:fldChar w:fldCharType="begin"/>
            </w:r>
            <w:r>
              <w:rPr/>
              <w:instrText xml:space="preserve"> TC "5.00.06 ЦЕНТАР ЗА СОЦИЈАЛНИ РАД"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5.00.06</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ЦЕНТАР ЗА СОЦИЈАЛНИ РАД</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1.710.000,00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0,24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89.000,00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414400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108.000,00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60.000,00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45.000,00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90.000,00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421900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423500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423900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310.000,00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425200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0,02</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80.000,00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426400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0,03</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426800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426900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472900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5.500.000,00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0,76</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482300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2.000,00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512200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300.000,00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9.959.000,00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1,38</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5.00.06    ЦЕНТАР ЗА СОЦИЈАЛНИ РАД</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9.959.000,00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9.959.000,00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9.959.000,00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1,38</w:t>
            </w:r>
          </w:p>
        </w:tc>
      </w:tr>
    </w:tbl>
    <w:p>
      <w:pPr>
        <w:sectPr>
          <w:headerReference w:type="default" r:id="rId96"/>
          <w:headerReference w:type="first" r:id="rId97"/>
          <w:footerReference w:type="default" r:id="rId98"/>
          <w:footerReference w:type="first" r:id="rId99"/>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749"/>
        <w:gridCol w:w="901"/>
        <w:gridCol w:w="4566"/>
        <w:gridCol w:w="1650"/>
        <w:gridCol w:w="1651"/>
        <w:gridCol w:w="1650"/>
        <w:gridCol w:w="1649"/>
        <w:gridCol w:w="1650"/>
        <w:gridCol w:w="1649"/>
      </w:tblGrid>
      <w:tr>
        <w:trPr>
          <w:tblHeader w:val="true"/>
          <w:trHeight w:val="276" w:hRule="atLeast"/>
        </w:trPr>
        <w:tc>
          <w:tcPr>
            <w:tcW w:w="16115" w:type="dxa"/>
            <w:gridSpan w:val="9"/>
            <w:tcBorders/>
          </w:tcPr>
          <w:p>
            <w:pPr>
              <w:pStyle w:val="Normal"/>
              <w:jc w:val="center"/>
              <w:rPr>
                <w:b/>
                <w:bCs/>
                <w:color w:val="000000"/>
                <w:sz w:val="24"/>
                <w:szCs w:val="24"/>
              </w:rPr>
            </w:pPr>
            <w:r>
              <w:rPr>
                <w:b/>
                <w:bCs/>
                <w:color w:val="000000"/>
                <w:sz w:val="24"/>
                <w:szCs w:val="24"/>
              </w:rPr>
              <w:t>ПЛАН РАСХОДА</w:t>
            </w:r>
          </w:p>
        </w:tc>
      </w:tr>
      <w:tr>
        <w:trPr>
          <w:trHeight w:val="230" w:hRule="atLeast"/>
        </w:trPr>
        <w:tc>
          <w:tcPr>
            <w:tcW w:w="16115" w:type="dxa"/>
            <w:gridSpan w:val="9"/>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jc w:val="center"/>
                    <w:rPr>
                      <w:b/>
                      <w:bCs/>
                      <w:color w:val="000000"/>
                    </w:rPr>
                  </w:pPr>
                  <w:r>
                    <w:rPr>
                      <w:b/>
                      <w:bCs/>
                      <w:color w:val="000000"/>
                    </w:rPr>
                    <w:t>За период: 01.01.2026-31.12.2026</w:t>
                  </w:r>
                </w:p>
                <w:p>
                  <w:pPr>
                    <w:pStyle w:val="Normal"/>
                    <w:rPr/>
                  </w:pPr>
                  <w:r>
                    <w:rPr/>
                  </w:r>
                </w:p>
              </w:tc>
            </w:tr>
          </w:tbl>
          <w:p>
            <w:pPr>
              <w:pStyle w:val="Normal"/>
              <w:spacing w:lineRule="atLeast" w:line="0"/>
              <w:rPr/>
            </w:pPr>
            <w:r>
              <w:rPr/>
            </w:r>
            <w:bookmarkStart w:id="271" w:name="_Toc5.00.07_МУЗИЧКА_ШКОЛА_ВОЈИСЛАВ_ЛАЛЕ_"/>
            <w:bookmarkStart w:id="272" w:name="_Toc5.00.07_МУЗИЧКА_ШКОЛА_ВОЈИСЛАВ_ЛАЛЕ_"/>
            <w:bookmarkEnd w:id="272"/>
          </w:p>
        </w:tc>
      </w:tr>
      <w:tr>
        <w:trPr/>
        <w:tc>
          <w:tcPr>
            <w:tcW w:w="749" w:type="dxa"/>
            <w:tcBorders/>
          </w:tcPr>
          <w:p>
            <w:pPr>
              <w:pStyle w:val="Normal"/>
              <w:rPr>
                <w:vanish/>
              </w:rPr>
            </w:pPr>
            <w:r>
              <w:fldChar w:fldCharType="begin"/>
            </w:r>
            <w:r>
              <w:rPr/>
              <w:instrText xml:space="preserve"> TC "5.00.07 МУЗИЧКА ШКОЛА ВОЈИСЛАВ ЛАЛЕ СТЕФАНОВИЋ-УЖИЦЕ" \l 1 </w:instrText>
            </w:r>
            <w:r>
              <w:rPr/>
              <w:fldChar w:fldCharType="separate"/>
            </w:r>
            <w:r>
              <w:rPr/>
            </w:r>
            <w:r>
              <w:rPr/>
              <w:fldChar w:fldCharType="end"/>
            </w:r>
          </w:p>
          <w:p>
            <w:pPr>
              <w:pStyle w:val="Normal"/>
              <w:jc w:val="center"/>
              <w:rPr>
                <w:b/>
                <w:bCs/>
                <w:color w:val="000000"/>
                <w:sz w:val="16"/>
                <w:szCs w:val="16"/>
              </w:rPr>
            </w:pPr>
            <w:r>
              <w:rPr>
                <w:b/>
                <w:bCs/>
                <w:color w:val="000000"/>
                <w:sz w:val="16"/>
                <w:szCs w:val="16"/>
              </w:rPr>
              <w:t>0</w:t>
            </w:r>
          </w:p>
        </w:tc>
        <w:tc>
          <w:tcPr>
            <w:tcW w:w="15366" w:type="dxa"/>
            <w:gridSpan w:val="8"/>
            <w:tcBorders/>
          </w:tcPr>
          <w:p>
            <w:pPr>
              <w:pStyle w:val="Normal"/>
              <w:rPr>
                <w:b/>
                <w:bCs/>
                <w:color w:val="000000"/>
                <w:sz w:val="16"/>
                <w:szCs w:val="16"/>
              </w:rPr>
            </w:pPr>
            <w:r>
              <w:rPr>
                <w:b/>
                <w:bCs/>
                <w:color w:val="000000"/>
                <w:sz w:val="16"/>
                <w:szCs w:val="16"/>
              </w:rPr>
              <w:t>БУЏЕТ ОПШТИНЕ АРИЉЕ</w:t>
            </w:r>
          </w:p>
        </w:tc>
      </w:tr>
      <w:tr>
        <w:trPr/>
        <w:tc>
          <w:tcPr>
            <w:tcW w:w="749" w:type="dxa"/>
            <w:tcBorders>
              <w:bottom w:val="single" w:sz="6" w:space="0" w:color="000000"/>
            </w:tcBorders>
          </w:tcPr>
          <w:p>
            <w:pPr>
              <w:pStyle w:val="Normal"/>
              <w:jc w:val="center"/>
              <w:rPr>
                <w:b/>
                <w:bCs/>
                <w:color w:val="000000"/>
                <w:sz w:val="16"/>
                <w:szCs w:val="16"/>
              </w:rPr>
            </w:pPr>
            <w:r>
              <w:rPr>
                <w:b/>
                <w:bCs/>
                <w:color w:val="000000"/>
                <w:sz w:val="16"/>
                <w:szCs w:val="16"/>
              </w:rPr>
              <w:t>5.00.07</w:t>
            </w:r>
          </w:p>
        </w:tc>
        <w:tc>
          <w:tcPr>
            <w:tcW w:w="15366" w:type="dxa"/>
            <w:gridSpan w:val="8"/>
            <w:tcBorders>
              <w:bottom w:val="single" w:sz="6" w:space="0" w:color="000000"/>
            </w:tcBorders>
          </w:tcPr>
          <w:p>
            <w:pPr>
              <w:pStyle w:val="Normal"/>
              <w:rPr>
                <w:b/>
                <w:bCs/>
                <w:color w:val="000000"/>
                <w:sz w:val="16"/>
                <w:szCs w:val="16"/>
              </w:rPr>
            </w:pPr>
            <w:r>
              <w:rPr>
                <w:b/>
                <w:bCs/>
                <w:color w:val="000000"/>
                <w:sz w:val="16"/>
                <w:szCs w:val="16"/>
              </w:rPr>
              <w:t>МУЗИЧКА ШКОЛА ВОЈИСЛАВ ЛАЛЕ СТЕФАНОВИЋ-УЖИЦЕ</w:t>
            </w:r>
          </w:p>
        </w:tc>
      </w:tr>
      <w:tr>
        <w:trPr/>
        <w:tc>
          <w:tcPr>
            <w:tcW w:w="7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Конто</w:t>
            </w:r>
          </w:p>
        </w:tc>
        <w:tc>
          <w:tcPr>
            <w:tcW w:w="90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4566"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Планирано</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bookmarkStart w:id="273" w:name="_Toc463000"/>
            <w:bookmarkEnd w:id="273"/>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rPr>
                <w:vanish/>
              </w:rPr>
            </w:pPr>
            <w:r>
              <w:fldChar w:fldCharType="begin"/>
            </w:r>
            <w:r>
              <w:rPr/>
              <w:instrText xml:space="preserve"> TC "463000" \l 1 </w:instrText>
            </w:r>
            <w:r>
              <w:rPr/>
              <w:fldChar w:fldCharType="separate"/>
            </w:r>
            <w:r>
              <w:rPr/>
            </w:r>
            <w:r>
              <w:rPr/>
              <w:fldChar w:fldCharType="end"/>
            </w:r>
          </w:p>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415100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0,15</w:t>
            </w:r>
          </w:p>
        </w:tc>
      </w:tr>
      <w:tr>
        <w:trPr/>
        <w:tc>
          <w:tcPr>
            <w:tcW w:w="749"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463000</w:t>
            </w:r>
          </w:p>
        </w:tc>
        <w:tc>
          <w:tcPr>
            <w:tcW w:w="901" w:type="dxa"/>
            <w:tcBorders>
              <w:top w:val="single" w:sz="6" w:space="0" w:color="000000"/>
              <w:left w:val="single" w:sz="6" w:space="0" w:color="000000"/>
              <w:bottom w:val="single" w:sz="6" w:space="0" w:color="000000"/>
              <w:right w:val="single" w:sz="6" w:space="0" w:color="000000"/>
            </w:tcBorders>
          </w:tcPr>
          <w:p>
            <w:pPr>
              <w:pStyle w:val="Normal"/>
              <w:jc w:val="center"/>
              <w:rPr>
                <w:color w:val="000000"/>
                <w:sz w:val="16"/>
                <w:szCs w:val="16"/>
              </w:rPr>
            </w:pPr>
            <w:r>
              <w:rPr>
                <w:color w:val="000000"/>
                <w:sz w:val="16"/>
                <w:szCs w:val="16"/>
              </w:rPr>
              <w:t>422300</w:t>
            </w:r>
          </w:p>
        </w:tc>
        <w:tc>
          <w:tcPr>
            <w:tcW w:w="4566" w:type="dxa"/>
            <w:tcBorders>
              <w:top w:val="single" w:sz="6" w:space="0" w:color="000000"/>
              <w:left w:val="single" w:sz="6" w:space="0" w:color="000000"/>
              <w:bottom w:val="single" w:sz="6" w:space="0" w:color="000000"/>
              <w:right w:val="single" w:sz="6" w:space="0" w:color="000000"/>
            </w:tcBorders>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1"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100.000,00</w:t>
            </w:r>
          </w:p>
        </w:tc>
        <w:tc>
          <w:tcPr>
            <w:tcW w:w="1649" w:type="dxa"/>
            <w:tcBorders>
              <w:top w:val="single" w:sz="6" w:space="0" w:color="000000"/>
              <w:left w:val="single" w:sz="6" w:space="0" w:color="000000"/>
              <w:bottom w:val="single" w:sz="6" w:space="0" w:color="000000"/>
              <w:right w:val="single" w:sz="6" w:space="0" w:color="000000"/>
            </w:tcBorders>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tcPr>
          <w:p>
            <w:pPr>
              <w:pStyle w:val="Normal"/>
              <w:rPr>
                <w:b/>
                <w:bCs/>
                <w:color w:val="000000"/>
                <w:sz w:val="16"/>
                <w:szCs w:val="16"/>
              </w:rPr>
            </w:pPr>
            <w:r>
              <w:rPr>
                <w:b/>
                <w:bCs/>
                <w:color w:val="000000"/>
                <w:sz w:val="16"/>
                <w:szCs w:val="16"/>
              </w:rPr>
              <w:t>Укупно за конто</w:t>
            </w:r>
          </w:p>
        </w:tc>
        <w:tc>
          <w:tcPr>
            <w:tcW w:w="4566" w:type="dxa"/>
            <w:tcBorders>
              <w:top w:val="single" w:sz="6" w:space="0" w:color="000000"/>
              <w:bottom w:val="single" w:sz="6" w:space="0" w:color="000000"/>
              <w:right w:val="single" w:sz="6" w:space="0" w:color="000000"/>
            </w:tcBorders>
            <w:shd w:color="auto" w:fill="F5F5F5" w:val="clear"/>
          </w:tcPr>
          <w:p>
            <w:pPr>
              <w:pStyle w:val="Normal"/>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1.200.000,00</w:t>
            </w:r>
          </w:p>
        </w:tc>
        <w:tc>
          <w:tcPr>
            <w:tcW w:w="1651"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1.200.000,00</w:t>
            </w:r>
          </w:p>
        </w:tc>
        <w:tc>
          <w:tcPr>
            <w:tcW w:w="1649" w:type="dxa"/>
            <w:tcBorders>
              <w:top w:val="single" w:sz="6" w:space="0" w:color="000000"/>
              <w:left w:val="single" w:sz="6" w:space="0" w:color="000000"/>
              <w:bottom w:val="single" w:sz="6" w:space="0" w:color="000000"/>
              <w:right w:val="single" w:sz="6" w:space="0" w:color="000000"/>
            </w:tcBorders>
            <w:shd w:color="auto" w:fill="F5F5F5" w:val="clear"/>
          </w:tcPr>
          <w:p>
            <w:pPr>
              <w:pStyle w:val="Normal"/>
              <w:jc w:val="right"/>
              <w:rPr>
                <w:b/>
                <w:bCs/>
                <w:color w:val="000000"/>
                <w:sz w:val="16"/>
                <w:szCs w:val="16"/>
              </w:rPr>
            </w:pPr>
            <w:r>
              <w:rPr>
                <w:b/>
                <w:bCs/>
                <w:color w:val="000000"/>
                <w:sz w:val="16"/>
                <w:szCs w:val="16"/>
              </w:rPr>
              <w:t>0,17</w:t>
            </w:r>
          </w:p>
        </w:tc>
      </w:tr>
      <w:tr>
        <w:trPr/>
        <w:tc>
          <w:tcPr>
            <w:tcW w:w="6216" w:type="dxa"/>
            <w:gridSpan w:val="3"/>
            <w:tcBorders>
              <w:top w:val="single" w:sz="6" w:space="0" w:color="000000"/>
              <w:left w:val="single" w:sz="6" w:space="0" w:color="000000"/>
              <w:bottom w:val="single" w:sz="6" w:space="0" w:color="000000"/>
              <w:right w:val="single" w:sz="6" w:space="0" w:color="000000"/>
            </w:tcBorders>
            <w:shd w:color="auto" w:fill="E9E9E9" w:val="clear"/>
          </w:tcPr>
          <w:p>
            <w:pPr>
              <w:pStyle w:val="Normal"/>
              <w:rPr>
                <w:b/>
                <w:bCs/>
                <w:color w:val="000000"/>
                <w:sz w:val="16"/>
                <w:szCs w:val="16"/>
              </w:rPr>
            </w:pPr>
            <w:r>
              <w:rPr>
                <w:b/>
                <w:bCs/>
                <w:color w:val="000000"/>
                <w:sz w:val="16"/>
                <w:szCs w:val="16"/>
              </w:rPr>
              <w:t>Укупно за    5.00.07    МУЗИЧКА ШКОЛА ВОЈИСЛАВ ЛАЛЕ СТЕФАНОВИЋ-УЖИЦЕ</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1.200.000,00</w:t>
            </w:r>
          </w:p>
        </w:tc>
        <w:tc>
          <w:tcPr>
            <w:tcW w:w="1651"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1.200.000,00</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right"/>
              <w:rPr>
                <w:b/>
                <w:bCs/>
                <w:color w:val="000000"/>
                <w:sz w:val="16"/>
                <w:szCs w:val="16"/>
              </w:rPr>
            </w:pPr>
            <w:r>
              <w:rPr>
                <w:b/>
                <w:bCs/>
                <w:color w:val="000000"/>
                <w:sz w:val="16"/>
                <w:szCs w:val="16"/>
              </w:rPr>
              <w:t>0,17</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
              <w:rPr/>
            </w:pPr>
            <w:r>
              <w:rPr/>
            </w:r>
            <w:bookmarkStart w:id="274" w:name="__bookmark_80"/>
            <w:bookmarkStart w:id="275" w:name="__bookmark_80"/>
            <w:bookmarkEnd w:id="275"/>
          </w:p>
          <w:p>
            <w:pPr>
              <w:pStyle w:val="Normal"/>
              <w:spacing w:lineRule="atLeast" w:line="0"/>
              <w:rPr/>
            </w:pPr>
            <w:r>
              <w:rPr/>
            </w:r>
          </w:p>
        </w:tc>
      </w:tr>
    </w:tbl>
    <w:p>
      <w:pPr>
        <w:sectPr>
          <w:headerReference w:type="default" r:id="rId100"/>
          <w:headerReference w:type="first" r:id="rId101"/>
          <w:footerReference w:type="default" r:id="rId102"/>
          <w:footerReference w:type="first" r:id="rId103"/>
          <w:type w:val="nextPage"/>
          <w:pgSz w:orient="landscape" w:w="16838" w:h="11906"/>
          <w:pgMar w:left="360" w:right="360" w:gutter="0" w:header="360" w:top="417" w:footer="360" w:bottom="417"/>
          <w:pgNumType w:fmt="decimal"/>
          <w:formProt w:val="false"/>
          <w:textDirection w:val="lrTb"/>
          <w:docGrid w:type="default" w:linePitch="100" w:charSpace="8192"/>
        </w:sectPr>
      </w:pPr>
    </w:p>
    <w:p>
      <w:pPr>
        <w:pStyle w:val="Normal"/>
        <w:rPr>
          <w:vanish/>
        </w:rPr>
      </w:pPr>
      <w:r>
        <w:rPr>
          <w:vanish/>
        </w:rPr>
      </w:r>
      <w:bookmarkStart w:id="276" w:name="__bookmark_84"/>
      <w:bookmarkStart w:id="277" w:name="__bookmark_84"/>
      <w:bookmarkEnd w:id="277"/>
    </w:p>
    <w:tbl>
      <w:tblPr>
        <w:tblW w:w="16117" w:type="dxa"/>
        <w:jc w:val="left"/>
        <w:tblInd w:w="-108" w:type="dxa"/>
        <w:tblLayout w:type="fixed"/>
        <w:tblCellMar>
          <w:top w:w="0" w:type="dxa"/>
          <w:left w:w="0" w:type="dxa"/>
          <w:bottom w:w="0" w:type="dxa"/>
          <w:right w:w="0" w:type="dxa"/>
        </w:tblCellMar>
        <w:tblLook w:firstRow="1" w:noVBand="0" w:lastRow="1" w:firstColumn="1" w:lastColumn="1" w:noHBand="0" w:val="01e0"/>
      </w:tblPr>
      <w:tblGrid>
        <w:gridCol w:w="825"/>
        <w:gridCol w:w="825"/>
        <w:gridCol w:w="899"/>
        <w:gridCol w:w="901"/>
        <w:gridCol w:w="5092"/>
        <w:gridCol w:w="1650"/>
        <w:gridCol w:w="1650"/>
        <w:gridCol w:w="1649"/>
        <w:gridCol w:w="1650"/>
        <w:gridCol w:w="974"/>
      </w:tblGrid>
      <w:tr>
        <w:trPr>
          <w:tblHeader w:val="true"/>
          <w:trHeight w:val="230" w:hRule="atLeast"/>
        </w:trPr>
        <w:tc>
          <w:tcPr>
            <w:tcW w:w="16115" w:type="dxa"/>
            <w:gridSpan w:val="10"/>
            <w:tcBorders/>
          </w:tcPr>
          <w:tbl>
            <w:tblPr>
              <w:tblW w:w="16117" w:type="dxa"/>
              <w:jc w:val="center"/>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276" w:hRule="atLeast"/>
              </w:trPr>
              <w:tc>
                <w:tcPr>
                  <w:tcW w:w="16117" w:type="dxa"/>
                  <w:gridSpan w:val="3"/>
                  <w:tcBorders/>
                </w:tcPr>
                <w:p>
                  <w:pPr>
                    <w:pStyle w:val="Normal"/>
                    <w:jc w:val="center"/>
                    <w:rPr>
                      <w:b/>
                      <w:bCs/>
                      <w:color w:val="000000"/>
                      <w:sz w:val="24"/>
                      <w:szCs w:val="24"/>
                    </w:rPr>
                  </w:pPr>
                  <w:r>
                    <w:rPr>
                      <w:b/>
                      <w:bCs/>
                      <w:color w:val="000000"/>
                      <w:sz w:val="24"/>
                      <w:szCs w:val="24"/>
                    </w:rPr>
                    <w:t>АНАЛИТИЧКИ ПЛАН РАСХОДА ИНДИРЕКТНИХ БУЏЕТСКИХ КОРИСНИКА</w:t>
                  </w:r>
                </w:p>
              </w:tc>
            </w:tr>
            <w:tr>
              <w:trPr/>
              <w:tc>
                <w:tcPr>
                  <w:tcW w:w="5808" w:type="dxa"/>
                  <w:tcBorders/>
                </w:tcPr>
                <w:p>
                  <w:pPr>
                    <w:pStyle w:val="Normal"/>
                    <w:rPr>
                      <w:b/>
                      <w:bCs/>
                      <w:color w:val="000000"/>
                      <w:sz w:val="16"/>
                      <w:szCs w:val="16"/>
                    </w:rPr>
                  </w:pPr>
                  <w:r>
                    <w:rPr>
                      <w:b/>
                      <w:bCs/>
                      <w:color w:val="000000"/>
                      <w:sz w:val="16"/>
                      <w:szCs w:val="16"/>
                    </w:rPr>
                    <w:t>0     БУЏЕТ ОПШТИНЕ АРИЉЕ</w:t>
                  </w:r>
                </w:p>
              </w:tc>
              <w:tc>
                <w:tcPr>
                  <w:tcW w:w="4500" w:type="dxa"/>
                  <w:tcBorders/>
                </w:tcPr>
                <w:p>
                  <w:pPr>
                    <w:pStyle w:val="Normal"/>
                    <w:jc w:val="center"/>
                    <w:rPr>
                      <w:b/>
                      <w:bCs/>
                      <w:color w:val="000000"/>
                    </w:rPr>
                  </w:pPr>
                  <w:r>
                    <w:rPr>
                      <w:b/>
                      <w:bCs/>
                      <w:color w:val="000000"/>
                    </w:rPr>
                    <w:t>2026</w:t>
                  </w:r>
                </w:p>
              </w:tc>
              <w:tc>
                <w:tcPr>
                  <w:tcW w:w="5809" w:type="dxa"/>
                  <w:tcBorders/>
                </w:tcPr>
                <w:p>
                  <w:pPr>
                    <w:pStyle w:val="Normal"/>
                    <w:spacing w:lineRule="atLeast" w:line="0"/>
                    <w:jc w:val="center"/>
                    <w:rPr/>
                  </w:pPr>
                  <w:r>
                    <w:rPr/>
                  </w:r>
                </w:p>
              </w:tc>
            </w:tr>
          </w:tbl>
          <w:p>
            <w:pPr>
              <w:pStyle w:val="Normal"/>
              <w:spacing w:lineRule="atLeast" w:line="0"/>
              <w:rPr/>
            </w:pPr>
            <w:r>
              <w:rPr/>
            </w:r>
          </w:p>
        </w:tc>
      </w:tr>
      <w:tr>
        <w:trPr>
          <w:tblHeader w:val="true"/>
          <w:trHeight w:val="1" w:hRule="atLeast"/>
        </w:trPr>
        <w:tc>
          <w:tcPr>
            <w:tcW w:w="16115" w:type="dxa"/>
            <w:gridSpan w:val="10"/>
            <w:tcBorders>
              <w:bottom w:val="single" w:sz="6" w:space="0" w:color="000000"/>
            </w:tcBorders>
          </w:tcPr>
          <w:p>
            <w:pPr>
              <w:pStyle w:val="Normal"/>
              <w:spacing w:lineRule="atLeast" w:line="0"/>
              <w:rPr/>
            </w:pPr>
            <w:r>
              <w:rPr/>
            </w:r>
          </w:p>
        </w:tc>
      </w:tr>
      <w:tr>
        <w:trPr>
          <w:tblHeader w:val="true"/>
        </w:trPr>
        <w:tc>
          <w:tcPr>
            <w:tcW w:w="82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Број позиције</w:t>
            </w:r>
          </w:p>
        </w:tc>
        <w:tc>
          <w:tcPr>
            <w:tcW w:w="825"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Економ. класиф.</w:t>
            </w:r>
          </w:p>
        </w:tc>
        <w:tc>
          <w:tcPr>
            <w:tcW w:w="89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Расходи по наменама</w:t>
            </w:r>
          </w:p>
        </w:tc>
        <w:tc>
          <w:tcPr>
            <w:tcW w:w="5993" w:type="dxa"/>
            <w:gridSpan w:val="2"/>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буџета</w:t>
            </w:r>
          </w:p>
          <w:p>
            <w:pPr>
              <w:pStyle w:val="Normal"/>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сопствених извора 04</w:t>
            </w:r>
          </w:p>
        </w:tc>
        <w:tc>
          <w:tcPr>
            <w:tcW w:w="1649"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Укупно</w:t>
            </w:r>
          </w:p>
        </w:tc>
        <w:tc>
          <w:tcPr>
            <w:tcW w:w="974" w:type="dxa"/>
            <w:tcBorders>
              <w:top w:val="single" w:sz="6" w:space="0" w:color="000000"/>
              <w:left w:val="single" w:sz="6" w:space="0" w:color="000000"/>
              <w:bottom w:val="single" w:sz="6" w:space="0" w:color="000000"/>
              <w:right w:val="single" w:sz="6" w:space="0" w:color="000000"/>
            </w:tcBorders>
            <w:shd w:color="auto" w:fill="E9E9E9" w:val="clear"/>
          </w:tcPr>
          <w:p>
            <w:pPr>
              <w:pStyle w:val="Normal"/>
              <w:jc w:val="center"/>
              <w:rPr>
                <w:b/>
                <w:bCs/>
                <w:color w:val="000000"/>
                <w:sz w:val="16"/>
                <w:szCs w:val="16"/>
              </w:rPr>
            </w:pPr>
            <w:r>
              <w:rPr>
                <w:b/>
                <w:bCs/>
                <w:color w:val="000000"/>
                <w:sz w:val="16"/>
                <w:szCs w:val="16"/>
              </w:rPr>
              <w:t>Структура</w:t>
            </w:r>
          </w:p>
          <w:p>
            <w:pPr>
              <w:pStyle w:val="Normal"/>
              <w:jc w:val="center"/>
              <w:rPr>
                <w:b/>
                <w:bCs/>
                <w:color w:val="000000"/>
                <w:sz w:val="16"/>
                <w:szCs w:val="16"/>
              </w:rPr>
            </w:pPr>
            <w:r>
              <w:rPr>
                <w:b/>
                <w:bCs/>
                <w:color w:val="000000"/>
                <w:sz w:val="16"/>
                <w:szCs w:val="16"/>
              </w:rPr>
              <w:t>( % )</w:t>
            </w:r>
            <w:bookmarkStart w:id="278" w:name="_Toc0_БУЏЕТ_ОПШТИНЕ_АРИЉЕ"/>
            <w:bookmarkEnd w:id="27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"0 БУЏЕТ ОПШТИНЕ АРИЉЕ" \l 1 </w:instrText>
            </w:r>
            <w:r>
              <w:rPr/>
              <w:fldChar w:fldCharType="separate"/>
            </w:r>
            <w:r>
              <w:rPr/>
            </w:r>
            <w:r>
              <w:rPr/>
              <w:fldChar w:fldCharType="end"/>
            </w:r>
            <w:bookmarkStart w:id="279" w:name="_Toc5_ОПШТИНСКА_УПРАВА"/>
          </w:p>
          <w:p>
            <w:pPr>
              <w:pStyle w:val="Normal"/>
              <w:rPr>
                <w:vanish/>
              </w:rPr>
            </w:pPr>
            <w:r>
              <w:fldChar w:fldCharType="begin"/>
            </w:r>
            <w:r>
              <w:rPr/>
              <w:instrText xml:space="preserve"> TC "5 ОПШТИНСКА УПРАВА" \l 1 </w:instrText>
            </w:r>
            <w:r>
              <w:rPr/>
              <w:fldChar w:fldCharType="separate"/>
            </w:r>
            <w:bookmarkEnd w:id="279"/>
            <w:r>
              <w:rPr/>
            </w:r>
            <w:r>
              <w:rPr/>
              <w:fldChar w:fldCharType="end"/>
            </w:r>
          </w:p>
          <w:p>
            <w:pPr>
              <w:pStyle w:val="Normal"/>
              <w:rPr>
                <w:b/>
                <w:bCs/>
                <w:color w:val="000000"/>
                <w:sz w:val="16"/>
                <w:szCs w:val="16"/>
              </w:rPr>
            </w:pPr>
            <w:r>
              <w:rPr>
                <w:b/>
                <w:bCs/>
                <w:color w:val="000000"/>
                <w:sz w:val="16"/>
                <w:szCs w:val="16"/>
              </w:rPr>
              <w:t>Раздео</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ОПШТИНСКА УПРАВА</w:t>
            </w:r>
            <w:bookmarkStart w:id="280" w:name="_Toc5.01_ПРЕДШКОЛСКО_ОБРАЗОВАЊЕ"/>
            <w:bookmarkEnd w:id="28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"5.01 ПРЕДШКОЛСКО ОБРАЗОВАЊЕ"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5.01</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ПРЕДШКОЛСКО ОБРАЗОВАЊЕ</w:t>
            </w:r>
            <w:bookmarkStart w:id="281" w:name="_Toc5.01.01"/>
            <w:bookmarkEnd w:id="28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"5.01.01" \l 1 </w:instrText>
            </w:r>
            <w:r>
              <w:rPr/>
              <w:fldChar w:fldCharType="separate"/>
            </w:r>
            <w:r>
              <w:rPr/>
            </w:r>
            <w:r>
              <w:rPr/>
              <w:fldChar w:fldCharType="end"/>
            </w:r>
          </w:p>
          <w:p>
            <w:pPr>
              <w:pStyle w:val="Normal"/>
              <w:rPr>
                <w:b/>
                <w:bCs/>
                <w:color w:val="000000"/>
                <w:sz w:val="16"/>
                <w:szCs w:val="16"/>
              </w:rPr>
            </w:pPr>
            <w:r>
              <w:rPr>
                <w:b/>
                <w:bCs/>
                <w:color w:val="000000"/>
                <w:sz w:val="16"/>
                <w:szCs w:val="16"/>
              </w:rPr>
              <w:t>5.01.01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ПРЕДШКОЛСКА УСТАНОВА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127.556.870,00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5.778.693,00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133.335.563,00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49,95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12.755.680,00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577.869,00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13.333.549,00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4,99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6.569.170,00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297.603,00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6.866.773,00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2,57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1,76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1,20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6,18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109/0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265.000,00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14.079.000,00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14.079.000,00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5,27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заштиту животне средине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0,19</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5.01.01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199.775.720,00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5.01</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ПРЕДШКОЛСКО ОБРАЗОВАЊЕ</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199.775.720,00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7.979.165,00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207.754.885,00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77,82</w:t>
            </w:r>
          </w:p>
        </w:tc>
      </w:tr>
      <w:tr>
        <w:trPr>
          <w:trHeight w:val="225" w:hRule="exac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282" w:name="_Toc5.02_МЕСНЕ_ЗАЈЕДНИЦЕ"/>
            <w:bookmarkStart w:id="283" w:name="_Toc5.02_МЕСНЕ_ЗАЈЕДНИЦЕ"/>
            <w:bookmarkEnd w:id="283"/>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 МЕСНЕ ЗАЈЕДНИЦЕ"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5.02</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МЕСНЕ ЗАЈЕДНИЦЕ</w:t>
            </w:r>
            <w:bookmarkStart w:id="284" w:name="_Toc5.02.01"/>
            <w:bookmarkEnd w:id="284"/>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"5.02.01" \l 1 </w:instrText>
            </w:r>
            <w:r>
              <w:rPr/>
              <w:fldChar w:fldCharType="separate"/>
            </w:r>
            <w:r>
              <w:rPr/>
            </w:r>
            <w:r>
              <w:rPr/>
              <w:fldChar w:fldCharType="end"/>
            </w:r>
          </w:p>
          <w:p>
            <w:pPr>
              <w:pStyle w:val="Normal"/>
              <w:rPr>
                <w:b/>
                <w:bCs/>
                <w:color w:val="000000"/>
                <w:sz w:val="16"/>
                <w:szCs w:val="16"/>
              </w:rPr>
            </w:pPr>
            <w:r>
              <w:rPr>
                <w:b/>
                <w:bCs/>
                <w:color w:val="000000"/>
                <w:sz w:val="16"/>
                <w:szCs w:val="16"/>
              </w:rPr>
              <w:t>5.02.01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АРИЉЕ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42.600,00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582.600,00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85" w:name="_Toc5.02.02"/>
            <w:bookmarkStart w:id="286" w:name="_Toc5.02.02"/>
            <w:bookmarkEnd w:id="286"/>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"5.02.02" \l 1 </w:instrText>
            </w:r>
            <w:r>
              <w:rPr/>
              <w:fldChar w:fldCharType="separate"/>
            </w:r>
            <w:r>
              <w:rPr/>
            </w:r>
            <w:r>
              <w:rPr/>
              <w:fldChar w:fldCharType="end"/>
            </w:r>
          </w:p>
          <w:p>
            <w:pPr>
              <w:pStyle w:val="Normal"/>
              <w:rPr>
                <w:b/>
                <w:bCs/>
                <w:color w:val="000000"/>
                <w:sz w:val="16"/>
                <w:szCs w:val="16"/>
              </w:rPr>
            </w:pPr>
            <w:r>
              <w:rPr>
                <w:b/>
                <w:bCs/>
                <w:color w:val="000000"/>
                <w:sz w:val="16"/>
                <w:szCs w:val="16"/>
              </w:rPr>
              <w:t>5.02.02</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БЈЕЛУША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384.600,00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384.600,00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5.02.02</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456.600,00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87" w:name="_Toc5.02.03"/>
            <w:bookmarkStart w:id="288" w:name="_Toc5.02.03"/>
            <w:bookmarkEnd w:id="28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"5.02.03" \l 1 </w:instrText>
            </w:r>
            <w:r>
              <w:rPr/>
              <w:fldChar w:fldCharType="separate"/>
            </w:r>
            <w:r>
              <w:rPr/>
            </w:r>
            <w:r>
              <w:rPr/>
              <w:fldChar w:fldCharType="end"/>
            </w:r>
          </w:p>
          <w:p>
            <w:pPr>
              <w:pStyle w:val="Normal"/>
              <w:rPr>
                <w:b/>
                <w:bCs/>
                <w:color w:val="000000"/>
                <w:sz w:val="16"/>
                <w:szCs w:val="16"/>
              </w:rPr>
            </w:pPr>
            <w:r>
              <w:rPr>
                <w:b/>
                <w:bCs/>
                <w:color w:val="000000"/>
                <w:sz w:val="16"/>
                <w:szCs w:val="16"/>
              </w:rPr>
              <w:t>5.02.03</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БОГОЈЕВИЋИ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5.02.03</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150.600,00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89" w:name="_Toc5.02.04"/>
            <w:bookmarkStart w:id="290" w:name="_Toc5.02.04"/>
            <w:bookmarkEnd w:id="29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"5.02.04" \l 1 </w:instrText>
            </w:r>
            <w:r>
              <w:rPr/>
              <w:fldChar w:fldCharType="separate"/>
            </w:r>
            <w:r>
              <w:rPr/>
            </w:r>
            <w:r>
              <w:rPr/>
              <w:fldChar w:fldCharType="end"/>
            </w:r>
          </w:p>
          <w:p>
            <w:pPr>
              <w:pStyle w:val="Normal"/>
              <w:rPr>
                <w:b/>
                <w:bCs/>
                <w:color w:val="000000"/>
                <w:sz w:val="16"/>
                <w:szCs w:val="16"/>
              </w:rPr>
            </w:pPr>
            <w:r>
              <w:rPr>
                <w:b/>
                <w:bCs/>
                <w:color w:val="000000"/>
                <w:sz w:val="16"/>
                <w:szCs w:val="16"/>
              </w:rPr>
              <w:t>5.02.04</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ЗЕЈЕДНИЦА БРЕКОВО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5.02.04</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393.000,00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1" w:name="_Toc5.02.05"/>
            <w:bookmarkStart w:id="292" w:name="_Toc5.02.05"/>
            <w:bookmarkEnd w:id="292"/>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"5.02.05" \l 1 </w:instrText>
            </w:r>
            <w:r>
              <w:rPr/>
              <w:fldChar w:fldCharType="separate"/>
            </w:r>
            <w:r>
              <w:rPr/>
            </w:r>
            <w:r>
              <w:rPr/>
              <w:fldChar w:fldCharType="end"/>
            </w:r>
          </w:p>
          <w:p>
            <w:pPr>
              <w:pStyle w:val="Normal"/>
              <w:rPr>
                <w:b/>
                <w:bCs/>
                <w:color w:val="000000"/>
                <w:sz w:val="16"/>
                <w:szCs w:val="16"/>
              </w:rPr>
            </w:pPr>
            <w:r>
              <w:rPr>
                <w:b/>
                <w:bCs/>
                <w:color w:val="000000"/>
                <w:sz w:val="16"/>
                <w:szCs w:val="16"/>
              </w:rPr>
              <w:t>5.02.05</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ВИГОШТЕ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5.02.05</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219.000,00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3" w:name="_Toc5.02.06"/>
            <w:bookmarkStart w:id="294" w:name="_Toc5.02.06"/>
            <w:bookmarkEnd w:id="294"/>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"5.02.06" \l 1 </w:instrText>
            </w:r>
            <w:r>
              <w:rPr/>
              <w:fldChar w:fldCharType="separate"/>
            </w:r>
            <w:r>
              <w:rPr/>
            </w:r>
            <w:r>
              <w:rPr/>
              <w:fldChar w:fldCharType="end"/>
            </w:r>
          </w:p>
          <w:p>
            <w:pPr>
              <w:pStyle w:val="Normal"/>
              <w:rPr>
                <w:b/>
                <w:bCs/>
                <w:color w:val="000000"/>
                <w:sz w:val="16"/>
                <w:szCs w:val="16"/>
              </w:rPr>
            </w:pPr>
            <w:r>
              <w:rPr>
                <w:b/>
                <w:bCs/>
                <w:color w:val="000000"/>
                <w:sz w:val="16"/>
                <w:szCs w:val="16"/>
              </w:rPr>
              <w:t>5.02.06</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ВИРОВО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138.800,00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138.800,00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5.02.06</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175.800,00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5" w:name="_Toc5.02.07"/>
            <w:bookmarkStart w:id="296" w:name="_Toc5.02.07"/>
            <w:bookmarkEnd w:id="296"/>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"5.02.07" \l 1 </w:instrText>
            </w:r>
            <w:r>
              <w:rPr/>
              <w:fldChar w:fldCharType="separate"/>
            </w:r>
            <w:r>
              <w:rPr/>
            </w:r>
            <w:r>
              <w:rPr/>
              <w:fldChar w:fldCharType="end"/>
            </w:r>
          </w:p>
          <w:p>
            <w:pPr>
              <w:pStyle w:val="Normal"/>
              <w:rPr>
                <w:b/>
                <w:bCs/>
                <w:color w:val="000000"/>
                <w:sz w:val="16"/>
                <w:szCs w:val="16"/>
              </w:rPr>
            </w:pPr>
            <w:r>
              <w:rPr>
                <w:b/>
                <w:bCs/>
                <w:color w:val="000000"/>
                <w:sz w:val="16"/>
                <w:szCs w:val="16"/>
              </w:rPr>
              <w:t>5.02.07</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ВИСОКА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5.02.07</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434.400,00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7" w:name="_Toc5.02.08"/>
            <w:bookmarkStart w:id="298" w:name="_Toc5.02.08"/>
            <w:bookmarkEnd w:id="29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"5.02.08" \l 1 </w:instrText>
            </w:r>
            <w:r>
              <w:rPr/>
              <w:fldChar w:fldCharType="separate"/>
            </w:r>
            <w:r>
              <w:rPr/>
            </w:r>
            <w:r>
              <w:rPr/>
              <w:fldChar w:fldCharType="end"/>
            </w:r>
          </w:p>
          <w:p>
            <w:pPr>
              <w:pStyle w:val="Normal"/>
              <w:rPr>
                <w:b/>
                <w:bCs/>
                <w:color w:val="000000"/>
                <w:sz w:val="16"/>
                <w:szCs w:val="16"/>
              </w:rPr>
            </w:pPr>
            <w:r>
              <w:rPr>
                <w:b/>
                <w:bCs/>
                <w:color w:val="000000"/>
                <w:sz w:val="16"/>
                <w:szCs w:val="16"/>
              </w:rPr>
              <w:t>5.02.08</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ВРАНЕ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243.600,00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243.600,00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5.02.08</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270.600,00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299" w:name="_Toc5.02.09"/>
            <w:bookmarkStart w:id="300" w:name="_Toc5.02.09"/>
            <w:bookmarkEnd w:id="30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"5.02.09" \l 1 </w:instrText>
            </w:r>
            <w:r>
              <w:rPr/>
              <w:fldChar w:fldCharType="separate"/>
            </w:r>
            <w:r>
              <w:rPr/>
            </w:r>
            <w:r>
              <w:rPr/>
              <w:fldChar w:fldCharType="end"/>
            </w:r>
          </w:p>
          <w:p>
            <w:pPr>
              <w:pStyle w:val="Normal"/>
              <w:rPr>
                <w:b/>
                <w:bCs/>
                <w:color w:val="000000"/>
                <w:sz w:val="16"/>
                <w:szCs w:val="16"/>
              </w:rPr>
            </w:pPr>
            <w:r>
              <w:rPr>
                <w:b/>
                <w:bCs/>
                <w:color w:val="000000"/>
                <w:sz w:val="16"/>
                <w:szCs w:val="16"/>
              </w:rPr>
              <w:t>5.02.09</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ГРДОВИЋИ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5.02.09</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121.200,00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1" w:name="_Toc5.02.10"/>
            <w:bookmarkStart w:id="302" w:name="_Toc5.02.10"/>
            <w:bookmarkEnd w:id="302"/>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"5.02.10" \l 1 </w:instrText>
            </w:r>
            <w:r>
              <w:rPr/>
              <w:fldChar w:fldCharType="separate"/>
            </w:r>
            <w:r>
              <w:rPr/>
            </w:r>
            <w:r>
              <w:rPr/>
              <w:fldChar w:fldCharType="end"/>
            </w:r>
          </w:p>
          <w:p>
            <w:pPr>
              <w:pStyle w:val="Normal"/>
              <w:rPr>
                <w:b/>
                <w:bCs/>
                <w:color w:val="000000"/>
                <w:sz w:val="16"/>
                <w:szCs w:val="16"/>
              </w:rPr>
            </w:pPr>
            <w:r>
              <w:rPr>
                <w:b/>
                <w:bCs/>
                <w:color w:val="000000"/>
                <w:sz w:val="16"/>
                <w:szCs w:val="16"/>
              </w:rPr>
              <w:t>5.02.10</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ГРИВСКА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178.800,00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178.800,00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5.02.10</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223.800,00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3" w:name="_Toc5.02.11"/>
            <w:bookmarkStart w:id="304" w:name="_Toc5.02.11"/>
            <w:bookmarkEnd w:id="304"/>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"5.02.11" \l 1 </w:instrText>
            </w:r>
            <w:r>
              <w:rPr/>
              <w:fldChar w:fldCharType="separate"/>
            </w:r>
            <w:r>
              <w:rPr/>
            </w:r>
            <w:r>
              <w:rPr/>
              <w:fldChar w:fldCharType="end"/>
            </w:r>
          </w:p>
          <w:p>
            <w:pPr>
              <w:pStyle w:val="Normal"/>
              <w:rPr>
                <w:b/>
                <w:bCs/>
                <w:color w:val="000000"/>
                <w:sz w:val="16"/>
                <w:szCs w:val="16"/>
              </w:rPr>
            </w:pPr>
            <w:r>
              <w:rPr>
                <w:b/>
                <w:bCs/>
                <w:color w:val="000000"/>
                <w:sz w:val="16"/>
                <w:szCs w:val="16"/>
              </w:rPr>
              <w:t>5.02.11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ДОБРАЧЕ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407.800,00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407.800,00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457.800,00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5" w:name="_Toc5.02.12"/>
            <w:bookmarkStart w:id="306" w:name="_Toc5.02.12"/>
            <w:bookmarkEnd w:id="306"/>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"5.02.12" \l 1 </w:instrText>
            </w:r>
            <w:r>
              <w:rPr/>
              <w:fldChar w:fldCharType="separate"/>
            </w:r>
            <w:r>
              <w:rPr/>
            </w:r>
            <w:r>
              <w:rPr/>
              <w:fldChar w:fldCharType="end"/>
            </w:r>
          </w:p>
          <w:p>
            <w:pPr>
              <w:pStyle w:val="Normal"/>
              <w:rPr>
                <w:b/>
                <w:bCs/>
                <w:color w:val="000000"/>
                <w:sz w:val="16"/>
                <w:szCs w:val="16"/>
              </w:rPr>
            </w:pPr>
            <w:r>
              <w:rPr>
                <w:b/>
                <w:bCs/>
                <w:color w:val="000000"/>
                <w:sz w:val="16"/>
                <w:szCs w:val="16"/>
              </w:rPr>
              <w:t>5.02.12</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ДРАГОЈЕВАЦ</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5.02.12</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105.600,00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7" w:name="_Toc5.02.13"/>
            <w:bookmarkStart w:id="308" w:name="_Toc5.02.13"/>
            <w:bookmarkEnd w:id="30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"5.02.13" \l 1 </w:instrText>
            </w:r>
            <w:r>
              <w:rPr/>
              <w:fldChar w:fldCharType="separate"/>
            </w:r>
            <w:r>
              <w:rPr/>
            </w:r>
            <w:r>
              <w:rPr/>
              <w:fldChar w:fldCharType="end"/>
            </w:r>
          </w:p>
          <w:p>
            <w:pPr>
              <w:pStyle w:val="Normal"/>
              <w:rPr>
                <w:b/>
                <w:bCs/>
                <w:color w:val="000000"/>
                <w:sz w:val="16"/>
                <w:szCs w:val="16"/>
              </w:rPr>
            </w:pPr>
            <w:r>
              <w:rPr>
                <w:b/>
                <w:bCs/>
                <w:color w:val="000000"/>
                <w:sz w:val="16"/>
                <w:szCs w:val="16"/>
              </w:rPr>
              <w:t>5.02.13</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КРУШЧИЦА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245.200,00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245.200,00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5.02.13</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328.200,00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09" w:name="_Toc5.02.14"/>
            <w:bookmarkStart w:id="310" w:name="_Toc5.02.14"/>
            <w:bookmarkEnd w:id="31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"5.02.14" \l 1 </w:instrText>
            </w:r>
            <w:r>
              <w:rPr/>
              <w:fldChar w:fldCharType="separate"/>
            </w:r>
            <w:r>
              <w:rPr/>
            </w:r>
            <w:r>
              <w:rPr/>
              <w:fldChar w:fldCharType="end"/>
            </w:r>
          </w:p>
          <w:p>
            <w:pPr>
              <w:pStyle w:val="Normal"/>
              <w:rPr>
                <w:b/>
                <w:bCs/>
                <w:color w:val="000000"/>
                <w:sz w:val="16"/>
                <w:szCs w:val="16"/>
              </w:rPr>
            </w:pPr>
            <w:r>
              <w:rPr>
                <w:b/>
                <w:bCs/>
                <w:color w:val="000000"/>
                <w:sz w:val="16"/>
                <w:szCs w:val="16"/>
              </w:rPr>
              <w:t>5.02.14</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ЛАТВИЦА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78.400,00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5.02.14</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146.400,00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1" w:name="_Toc5.02.15"/>
            <w:bookmarkStart w:id="312" w:name="_Toc5.02.15"/>
            <w:bookmarkEnd w:id="312"/>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"5.02.15" \l 1 </w:instrText>
            </w:r>
            <w:r>
              <w:rPr/>
              <w:fldChar w:fldCharType="separate"/>
            </w:r>
            <w:r>
              <w:rPr/>
            </w:r>
            <w:r>
              <w:rPr/>
              <w:fldChar w:fldCharType="end"/>
            </w:r>
          </w:p>
          <w:p>
            <w:pPr>
              <w:pStyle w:val="Normal"/>
              <w:rPr>
                <w:b/>
                <w:bCs/>
                <w:color w:val="000000"/>
                <w:sz w:val="16"/>
                <w:szCs w:val="16"/>
              </w:rPr>
            </w:pPr>
            <w:r>
              <w:rPr>
                <w:b/>
                <w:bCs/>
                <w:color w:val="000000"/>
                <w:sz w:val="16"/>
                <w:szCs w:val="16"/>
              </w:rPr>
              <w:t>5.02.15</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МИРОСАЉЦИ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5.02.15</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312.600,00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3" w:name="_Toc5.02.16"/>
            <w:bookmarkStart w:id="314" w:name="_Toc5.02.16"/>
            <w:bookmarkEnd w:id="314"/>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"5.02.16" \l 1 </w:instrText>
            </w:r>
            <w:r>
              <w:rPr/>
              <w:fldChar w:fldCharType="separate"/>
            </w:r>
            <w:r>
              <w:rPr/>
            </w:r>
            <w:r>
              <w:rPr/>
              <w:fldChar w:fldCharType="end"/>
            </w:r>
          </w:p>
          <w:p>
            <w:pPr>
              <w:pStyle w:val="Normal"/>
              <w:rPr>
                <w:b/>
                <w:bCs/>
                <w:color w:val="000000"/>
                <w:sz w:val="16"/>
                <w:szCs w:val="16"/>
              </w:rPr>
            </w:pPr>
            <w:r>
              <w:rPr>
                <w:b/>
                <w:bCs/>
                <w:color w:val="000000"/>
                <w:sz w:val="16"/>
                <w:szCs w:val="16"/>
              </w:rPr>
              <w:t>5.02.16</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ПОГЛЕД</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84.600,00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5.02.16</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141.600,00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5" w:name="_Toc5.02.17"/>
            <w:bookmarkStart w:id="316" w:name="_Toc5.02.17"/>
            <w:bookmarkEnd w:id="316"/>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"5.02.17" \l 1 </w:instrText>
            </w:r>
            <w:r>
              <w:rPr/>
              <w:fldChar w:fldCharType="separate"/>
            </w:r>
            <w:r>
              <w:rPr/>
            </w:r>
            <w:r>
              <w:rPr/>
              <w:fldChar w:fldCharType="end"/>
            </w:r>
          </w:p>
          <w:p>
            <w:pPr>
              <w:pStyle w:val="Normal"/>
              <w:rPr>
                <w:b/>
                <w:bCs/>
                <w:color w:val="000000"/>
                <w:sz w:val="16"/>
                <w:szCs w:val="16"/>
              </w:rPr>
            </w:pPr>
            <w:r>
              <w:rPr>
                <w:b/>
                <w:bCs/>
                <w:color w:val="000000"/>
                <w:sz w:val="16"/>
                <w:szCs w:val="16"/>
              </w:rPr>
              <w:t>5.02.17</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РАДОБУЂА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154.200,00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154.200,00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5.02.17</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211.200,00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7" w:name="_Toc5.02.18"/>
            <w:bookmarkStart w:id="318" w:name="_Toc5.02.18"/>
            <w:bookmarkEnd w:id="31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"5.02.18" \l 1 </w:instrText>
            </w:r>
            <w:r>
              <w:rPr/>
              <w:fldChar w:fldCharType="separate"/>
            </w:r>
            <w:r>
              <w:rPr/>
            </w:r>
            <w:r>
              <w:rPr/>
              <w:fldChar w:fldCharType="end"/>
            </w:r>
          </w:p>
          <w:p>
            <w:pPr>
              <w:pStyle w:val="Normal"/>
              <w:rPr>
                <w:b/>
                <w:bCs/>
                <w:color w:val="000000"/>
                <w:sz w:val="16"/>
                <w:szCs w:val="16"/>
              </w:rPr>
            </w:pPr>
            <w:r>
              <w:rPr>
                <w:b/>
                <w:bCs/>
                <w:color w:val="000000"/>
                <w:sz w:val="16"/>
                <w:szCs w:val="16"/>
              </w:rPr>
              <w:t>5.02.18</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РАДОШЕВО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152.400,00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152.400,00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5.02.18</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224.400,00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19" w:name="_Toc5.02.19"/>
            <w:bookmarkStart w:id="320" w:name="_Toc5.02.19"/>
            <w:bookmarkEnd w:id="320"/>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"5.02.19" \l 1 </w:instrText>
            </w:r>
            <w:r>
              <w:rPr/>
              <w:fldChar w:fldCharType="separate"/>
            </w:r>
            <w:r>
              <w:rPr/>
            </w:r>
            <w:r>
              <w:rPr/>
              <w:fldChar w:fldCharType="end"/>
            </w:r>
          </w:p>
          <w:p>
            <w:pPr>
              <w:pStyle w:val="Normal"/>
              <w:rPr>
                <w:b/>
                <w:bCs/>
                <w:color w:val="000000"/>
                <w:sz w:val="16"/>
                <w:szCs w:val="16"/>
              </w:rPr>
            </w:pPr>
            <w:r>
              <w:rPr>
                <w:b/>
                <w:bCs/>
                <w:color w:val="000000"/>
                <w:sz w:val="16"/>
                <w:szCs w:val="16"/>
              </w:rPr>
              <w:t>5.02.19</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СЕВЕРОВО</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155.600,00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155.600,00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5.02.19</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210.600,00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1" w:name="_Toc5.02.20"/>
            <w:bookmarkStart w:id="322" w:name="_Toc5.02.20"/>
            <w:bookmarkEnd w:id="322"/>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"5.02.20" \l 1 </w:instrText>
            </w:r>
            <w:r>
              <w:rPr/>
              <w:fldChar w:fldCharType="separate"/>
            </w:r>
            <w:r>
              <w:rPr/>
            </w:r>
            <w:r>
              <w:rPr/>
              <w:fldChar w:fldCharType="end"/>
            </w:r>
          </w:p>
          <w:p>
            <w:pPr>
              <w:pStyle w:val="Normal"/>
              <w:rPr>
                <w:b/>
                <w:bCs/>
                <w:color w:val="000000"/>
                <w:sz w:val="16"/>
                <w:szCs w:val="16"/>
              </w:rPr>
            </w:pPr>
            <w:r>
              <w:rPr>
                <w:b/>
                <w:bCs/>
                <w:color w:val="000000"/>
                <w:sz w:val="16"/>
                <w:szCs w:val="16"/>
              </w:rPr>
              <w:t>5.02.20</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СТУПЧЕВИЋИ</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211.600,00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5.02.20</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246.600,00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3" w:name="_Toc5.02.21"/>
            <w:bookmarkStart w:id="324" w:name="_Toc5.02.21"/>
            <w:bookmarkEnd w:id="324"/>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"5.02.21" \l 1 </w:instrText>
            </w:r>
            <w:r>
              <w:rPr/>
              <w:fldChar w:fldCharType="separate"/>
            </w:r>
            <w:r>
              <w:rPr/>
            </w:r>
            <w:r>
              <w:rPr/>
              <w:fldChar w:fldCharType="end"/>
            </w:r>
          </w:p>
          <w:p>
            <w:pPr>
              <w:pStyle w:val="Normal"/>
              <w:rPr>
                <w:b/>
                <w:bCs/>
                <w:color w:val="000000"/>
                <w:sz w:val="16"/>
                <w:szCs w:val="16"/>
              </w:rPr>
            </w:pPr>
            <w:r>
              <w:rPr>
                <w:b/>
                <w:bCs/>
                <w:color w:val="000000"/>
                <w:sz w:val="16"/>
                <w:szCs w:val="16"/>
              </w:rPr>
              <w:t>5.02.21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ТРЕШЊЕВИЦА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222.800,00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222.800,00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5.02.21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379.800,00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bookmarkStart w:id="325" w:name="_Toc5.02.22"/>
            <w:bookmarkStart w:id="326" w:name="_Toc5.02.22"/>
            <w:bookmarkEnd w:id="326"/>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"5.02.22" \l 1 </w:instrText>
            </w:r>
            <w:r>
              <w:rPr/>
              <w:fldChar w:fldCharType="separate"/>
            </w:r>
            <w:r>
              <w:rPr/>
            </w:r>
            <w:r>
              <w:rPr/>
              <w:fldChar w:fldCharType="end"/>
            </w:r>
          </w:p>
          <w:p>
            <w:pPr>
              <w:pStyle w:val="Normal"/>
              <w:rPr>
                <w:b/>
                <w:bCs/>
                <w:color w:val="000000"/>
                <w:sz w:val="16"/>
                <w:szCs w:val="16"/>
              </w:rPr>
            </w:pPr>
            <w:r>
              <w:rPr>
                <w:b/>
                <w:bCs/>
                <w:color w:val="000000"/>
                <w:sz w:val="16"/>
                <w:szCs w:val="16"/>
              </w:rPr>
              <w:t>5.02.22</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МЕСНА ЗАЈЕДНИЦА ЦЕРОВА</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43.000,00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142.600,00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142.600,00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5.02.22</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207.600,00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5.02</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МЕСНЕ ЗАЈЕДНИЦЕ</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6.000.000,00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500.000,00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6.500.000,00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2,43</w:t>
            </w:r>
          </w:p>
        </w:tc>
      </w:tr>
      <w:tr>
        <w:trPr>
          <w:trHeight w:val="225" w:hRule="exac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327" w:name="_Toc5.03_УСЛУГЕ_КУЛТУРЕ"/>
            <w:bookmarkStart w:id="328" w:name="_Toc5.03_УСЛУГЕ_КУЛТУРЕ"/>
            <w:bookmarkEnd w:id="328"/>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"5.03 УСЛУГЕ КУЛТУРЕ"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5.03</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УСЛУГЕ КУЛТУРЕ</w:t>
            </w:r>
            <w:bookmarkStart w:id="329" w:name="_Toc5.03.01"/>
            <w:bookmarkEnd w:id="329"/>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"5.03.01" \l 1 </w:instrText>
            </w:r>
            <w:r>
              <w:rPr/>
              <w:fldChar w:fldCharType="separate"/>
            </w:r>
            <w:r>
              <w:rPr/>
            </w:r>
            <w:r>
              <w:rPr/>
              <w:fldChar w:fldCharType="end"/>
            </w:r>
          </w:p>
          <w:p>
            <w:pPr>
              <w:pStyle w:val="Normal"/>
              <w:rPr>
                <w:b/>
                <w:bCs/>
                <w:color w:val="000000"/>
                <w:sz w:val="16"/>
                <w:szCs w:val="16"/>
              </w:rPr>
            </w:pPr>
            <w:r>
              <w:rPr>
                <w:b/>
                <w:bCs/>
                <w:color w:val="000000"/>
                <w:sz w:val="16"/>
                <w:szCs w:val="16"/>
              </w:rPr>
              <w:t>5.03.01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НАРОДНА БИБЛИОТЕКАДОБРИЛО НЕНАДИЋ</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15.374.390,00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5,76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1.537.440,00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119/0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791.780,00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791.780,00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71.000,00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57.000,00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0,18</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0,41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482200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129/0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за домаћинство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1.700.000,00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1.850.000,00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0,69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0,30</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5.03.01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29.095.610,00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5.03</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УСЛУГЕ КУЛТУРЕ</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29.095.610,00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512.000,00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29.607.610,00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11,09</w:t>
            </w:r>
          </w:p>
        </w:tc>
      </w:tr>
      <w:tr>
        <w:trPr>
          <w:trHeight w:val="225" w:hRule="exac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bookmarkStart w:id="330" w:name="_Toc5.04_РЕКРЕАЦИЈА_И_СПОРТ"/>
            <w:bookmarkStart w:id="331" w:name="_Toc5.04_РЕКРЕАЦИЈА_И_СПОРТ"/>
            <w:bookmarkEnd w:id="331"/>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"5.04 РЕКРЕАЦИЈА И СПОРТ" \l 1 </w:instrText>
            </w:r>
            <w:r>
              <w:rPr/>
              <w:fldChar w:fldCharType="separate"/>
            </w:r>
            <w:r>
              <w:rPr/>
            </w:r>
            <w:r>
              <w:rPr/>
              <w:fldChar w:fldCharType="end"/>
            </w:r>
          </w:p>
          <w:p>
            <w:pPr>
              <w:pStyle w:val="Normal"/>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vAlign w:val="center"/>
          </w:tcPr>
          <w:p>
            <w:pPr>
              <w:pStyle w:val="Normal"/>
              <w:spacing w:lineRule="atLeast" w:line="0"/>
              <w:rPr/>
            </w:pPr>
            <w:r>
              <w:rPr/>
            </w:r>
          </w:p>
        </w:tc>
        <w:tc>
          <w:tcPr>
            <w:tcW w:w="899" w:type="dxa"/>
            <w:tcBorders>
              <w:top w:val="single" w:sz="6" w:space="0" w:color="000000"/>
              <w:bottom w:val="single" w:sz="6" w:space="0" w:color="000000"/>
            </w:tcBorders>
            <w:vAlign w:val="center"/>
          </w:tcPr>
          <w:p>
            <w:pPr>
              <w:pStyle w:val="Normal"/>
              <w:jc w:val="center"/>
              <w:rPr>
                <w:b/>
                <w:bCs/>
                <w:color w:val="000000"/>
                <w:sz w:val="16"/>
                <w:szCs w:val="16"/>
              </w:rPr>
            </w:pPr>
            <w:r>
              <w:rPr>
                <w:b/>
                <w:bCs/>
                <w:color w:val="000000"/>
                <w:sz w:val="16"/>
                <w:szCs w:val="16"/>
              </w:rPr>
              <w:t>5.04</w:t>
            </w:r>
          </w:p>
        </w:tc>
        <w:tc>
          <w:tcPr>
            <w:tcW w:w="13566" w:type="dxa"/>
            <w:gridSpan w:val="7"/>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РЕКРЕАЦИЈА И СПОРТ</w:t>
            </w:r>
            <w:bookmarkStart w:id="332" w:name="_Toc5.04.01"/>
            <w:bookmarkEnd w:id="332"/>
          </w:p>
        </w:tc>
      </w:tr>
      <w:tr>
        <w:trPr/>
        <w:tc>
          <w:tcPr>
            <w:tcW w:w="825" w:type="dxa"/>
            <w:tcBorders>
              <w:top w:val="single" w:sz="6" w:space="0" w:color="000000"/>
              <w:left w:val="single" w:sz="6" w:space="0" w:color="000000"/>
              <w:bottom w:val="single" w:sz="6" w:space="0" w:color="000000"/>
            </w:tcBorders>
            <w:vAlign w:val="center"/>
          </w:tcPr>
          <w:p>
            <w:pPr>
              <w:pStyle w:val="Normal"/>
              <w:rPr>
                <w:vanish/>
              </w:rPr>
            </w:pPr>
            <w:r>
              <w:fldChar w:fldCharType="begin"/>
            </w:r>
            <w:r>
              <w:rPr/>
              <w:instrText xml:space="preserve"> TC "5.04.01" \l 1 </w:instrText>
            </w:r>
            <w:r>
              <w:rPr/>
              <w:fldChar w:fldCharType="separate"/>
            </w:r>
            <w:r>
              <w:rPr/>
            </w:r>
            <w:r>
              <w:rPr/>
              <w:fldChar w:fldCharType="end"/>
            </w:r>
          </w:p>
          <w:p>
            <w:pPr>
              <w:pStyle w:val="Normal"/>
              <w:rPr>
                <w:b/>
                <w:bCs/>
                <w:color w:val="000000"/>
                <w:sz w:val="16"/>
                <w:szCs w:val="16"/>
              </w:rPr>
            </w:pPr>
            <w:r>
              <w:rPr>
                <w:b/>
                <w:bCs/>
                <w:color w:val="000000"/>
                <w:sz w:val="16"/>
                <w:szCs w:val="16"/>
              </w:rPr>
              <w:t>5.04.01</w:t>
            </w:r>
          </w:p>
        </w:tc>
        <w:tc>
          <w:tcPr>
            <w:tcW w:w="15290" w:type="dxa"/>
            <w:gridSpan w:val="9"/>
            <w:tcBorders>
              <w:top w:val="single" w:sz="6" w:space="0" w:color="000000"/>
              <w:bottom w:val="single" w:sz="6" w:space="0" w:color="000000"/>
              <w:right w:val="single" w:sz="6" w:space="0" w:color="000000"/>
            </w:tcBorders>
            <w:vAlign w:val="center"/>
          </w:tcPr>
          <w:p>
            <w:pPr>
              <w:pStyle w:val="Normal"/>
              <w:rPr>
                <w:b/>
                <w:bCs/>
                <w:color w:val="000000"/>
                <w:sz w:val="16"/>
                <w:szCs w:val="16"/>
              </w:rPr>
            </w:pPr>
            <w:r>
              <w:rPr>
                <w:b/>
                <w:bCs/>
                <w:color w:val="000000"/>
                <w:sz w:val="16"/>
                <w:szCs w:val="16"/>
              </w:rPr>
              <w:t>СПОРТСКО-ТУРИСТИЧКИ ЦЕНТАР АРИЉЕ</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6.651.740,00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2,49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665.170,00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0,25</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342.560,00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342.560,00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138/0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414100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139/0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415100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450.000,00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0,56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55.000,00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90.000,00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140/0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421600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Закуп имовине и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0,37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141/0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62.000,00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336.000,00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423300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423500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423700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142/0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423900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2.850.000,00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1,07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143/0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424200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3.800.000,00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1,42</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0,79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144/0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425200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250.000,00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0,09</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80.000,00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0,03</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426400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120.000,00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426800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0,06</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145/0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426900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580.000,00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730.000,00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0,27</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146/0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451100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300.000,00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0,11</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512200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147/0</w:t>
            </w:r>
          </w:p>
        </w:tc>
        <w:tc>
          <w:tcPr>
            <w:tcW w:w="825"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512000</w:t>
            </w:r>
          </w:p>
        </w:tc>
        <w:tc>
          <w:tcPr>
            <w:tcW w:w="899" w:type="dxa"/>
            <w:tcBorders>
              <w:top w:val="single" w:sz="6" w:space="0" w:color="000000"/>
              <w:left w:val="single" w:sz="6" w:space="0" w:color="000000"/>
              <w:bottom w:val="single" w:sz="6" w:space="0" w:color="000000"/>
              <w:right w:val="single" w:sz="6" w:space="0" w:color="000000"/>
            </w:tcBorders>
            <w:vAlign w:val="center"/>
          </w:tcPr>
          <w:p>
            <w:pPr>
              <w:pStyle w:val="Normal"/>
              <w:jc w:val="center"/>
              <w:rPr>
                <w:color w:val="000000"/>
                <w:sz w:val="16"/>
                <w:szCs w:val="16"/>
              </w:rPr>
            </w:pPr>
            <w:r>
              <w:rPr>
                <w:color w:val="000000"/>
                <w:sz w:val="16"/>
                <w:szCs w:val="16"/>
              </w:rPr>
              <w:t>512600</w:t>
            </w:r>
          </w:p>
        </w:tc>
        <w:tc>
          <w:tcPr>
            <w:tcW w:w="5993" w:type="dxa"/>
            <w:gridSpan w:val="2"/>
            <w:tcBorders>
              <w:top w:val="single" w:sz="6" w:space="0" w:color="000000"/>
              <w:left w:val="single" w:sz="6" w:space="0" w:color="000000"/>
              <w:bottom w:val="single" w:sz="6" w:space="0" w:color="000000"/>
              <w:right w:val="single" w:sz="6" w:space="0" w:color="000000"/>
            </w:tcBorders>
            <w:vAlign w:val="center"/>
          </w:tcPr>
          <w:p>
            <w:pPr>
              <w:pStyle w:val="Normal"/>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49"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vAlign w:val="center"/>
          </w:tcPr>
          <w:p>
            <w:pPr>
              <w:pStyle w:val="Normal"/>
              <w:jc w:val="right"/>
              <w:rPr>
                <w:color w:val="000000"/>
                <w:sz w:val="16"/>
                <w:szCs w:val="16"/>
              </w:rPr>
            </w:pPr>
            <w:r>
              <w:rPr>
                <w:color w:val="000000"/>
                <w:sz w:val="16"/>
                <w:szCs w:val="16"/>
              </w:rPr>
              <w:t>100.000,00</w:t>
            </w:r>
          </w:p>
        </w:tc>
        <w:tc>
          <w:tcPr>
            <w:tcW w:w="974" w:type="dxa"/>
            <w:tcBorders>
              <w:top w:val="single" w:sz="6" w:space="0" w:color="000000"/>
              <w:left w:val="single" w:sz="6" w:space="0" w:color="000000"/>
              <w:bottom w:val="single" w:sz="6" w:space="0" w:color="000000"/>
              <w:right w:val="single" w:sz="6" w:space="0" w:color="000000"/>
            </w:tcBorders>
            <w:tcMar>
              <w:right w:w="200" w:type="dxa"/>
            </w:tcMar>
            <w:vAlign w:val="center"/>
          </w:tcPr>
          <w:p>
            <w:pPr>
              <w:pStyle w:val="Normal"/>
              <w:jc w:val="right"/>
              <w:rPr>
                <w:color w:val="000000"/>
                <w:sz w:val="16"/>
                <w:szCs w:val="16"/>
              </w:rPr>
            </w:pPr>
            <w:r>
              <w:rPr>
                <w:color w:val="000000"/>
                <w:sz w:val="16"/>
                <w:szCs w:val="16"/>
              </w:rPr>
              <w:t>0,04</w:t>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аналитику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5.04.01</w:t>
            </w:r>
          </w:p>
        </w:tc>
        <w:tc>
          <w:tcPr>
            <w:tcW w:w="901"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5092"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22.497.470,00</w:t>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49"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1650" w:type="dxa"/>
            <w:tcBorders>
              <w:top w:val="single" w:sz="6" w:space="0" w:color="000000"/>
              <w:bottom w:val="single" w:sz="6" w:space="0" w:color="000000"/>
            </w:tcBorders>
            <w:shd w:color="auto" w:fill="F5F5F5" w:val="clear"/>
            <w:vAlign w:val="center"/>
          </w:tcPr>
          <w:p>
            <w:pPr>
              <w:pStyle w:val="Normal"/>
              <w:spacing w:lineRule="atLeast" w:line="0"/>
              <w:rPr/>
            </w:pPr>
            <w:r>
              <w:rPr/>
            </w:r>
          </w:p>
        </w:tc>
        <w:tc>
          <w:tcPr>
            <w:tcW w:w="974" w:type="dxa"/>
            <w:tcBorders>
              <w:top w:val="single" w:sz="6" w:space="0" w:color="000000"/>
              <w:bottom w:val="single" w:sz="6" w:space="0" w:color="000000"/>
              <w:right w:val="single" w:sz="6" w:space="0" w:color="000000"/>
            </w:tcBorders>
            <w:shd w:color="auto" w:fill="F5F5F5" w:val="clear"/>
            <w:vAlign w:val="center"/>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главу</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5.04</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РЕКРЕАЦИЈА И СПОРТ</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22.497.470,00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600.000,00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23.097.470,00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8,65</w:t>
            </w:r>
          </w:p>
        </w:tc>
      </w:tr>
      <w:tr>
        <w:trPr>
          <w:trHeight w:val="225" w:hRule="exac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Укупно за раздео</w:t>
            </w:r>
          </w:p>
        </w:tc>
        <w:tc>
          <w:tcPr>
            <w:tcW w:w="899" w:type="dxa"/>
            <w:tcBorders>
              <w:top w:val="single" w:sz="6" w:space="0" w:color="000000"/>
              <w:bottom w:val="single" w:sz="6" w:space="0" w:color="000000"/>
            </w:tcBorders>
            <w:shd w:color="auto" w:fill="F5F5F5" w:val="clear"/>
            <w:vAlign w:val="center"/>
          </w:tcPr>
          <w:p>
            <w:pPr>
              <w:pStyle w:val="Normal"/>
              <w:jc w:val="center"/>
              <w:rPr>
                <w:b/>
                <w:bCs/>
                <w:color w:val="000000"/>
                <w:sz w:val="16"/>
                <w:szCs w:val="16"/>
              </w:rPr>
            </w:pPr>
            <w:r>
              <w:rPr>
                <w:b/>
                <w:bCs/>
                <w:color w:val="000000"/>
                <w:sz w:val="16"/>
                <w:szCs w:val="16"/>
              </w:rPr>
              <w:t>5</w:t>
            </w:r>
          </w:p>
        </w:tc>
        <w:tc>
          <w:tcPr>
            <w:tcW w:w="5993" w:type="dxa"/>
            <w:gridSpan w:val="2"/>
            <w:tcBorders>
              <w:top w:val="single" w:sz="6" w:space="0" w:color="000000"/>
              <w:bottom w:val="single" w:sz="6" w:space="0" w:color="000000"/>
            </w:tcBorders>
            <w:shd w:color="auto" w:fill="F5F5F5" w:val="clear"/>
            <w:vAlign w:val="center"/>
          </w:tcPr>
          <w:p>
            <w:pPr>
              <w:pStyle w:val="Normal"/>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257.368.800,00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1.112.000,00</w:t>
            </w:r>
          </w:p>
        </w:tc>
        <w:tc>
          <w:tcPr>
            <w:tcW w:w="1649"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8.479.165,00</w:t>
            </w:r>
          </w:p>
        </w:tc>
        <w:tc>
          <w:tcPr>
            <w:tcW w:w="1650" w:type="dxa"/>
            <w:tcBorders>
              <w:top w:val="single" w:sz="6" w:space="0" w:color="000000"/>
              <w:bottom w:val="single" w:sz="6" w:space="0" w:color="000000"/>
            </w:tcBorders>
            <w:shd w:color="auto" w:fill="F5F5F5" w:val="clear"/>
            <w:vAlign w:val="center"/>
          </w:tcPr>
          <w:p>
            <w:pPr>
              <w:pStyle w:val="Normal"/>
              <w:jc w:val="right"/>
              <w:rPr>
                <w:b/>
                <w:bCs/>
                <w:color w:val="000000"/>
                <w:sz w:val="16"/>
                <w:szCs w:val="16"/>
              </w:rPr>
            </w:pPr>
            <w:r>
              <w:rPr>
                <w:b/>
                <w:bCs/>
                <w:color w:val="000000"/>
                <w:sz w:val="16"/>
                <w:szCs w:val="16"/>
              </w:rPr>
              <w:t>266.959.965,00</w:t>
            </w:r>
          </w:p>
        </w:tc>
        <w:tc>
          <w:tcPr>
            <w:tcW w:w="974" w:type="dxa"/>
            <w:tcBorders>
              <w:top w:val="single" w:sz="6" w:space="0" w:color="000000"/>
              <w:bottom w:val="single" w:sz="6" w:space="0" w:color="000000"/>
              <w:right w:val="single" w:sz="6" w:space="0" w:color="000000"/>
            </w:tcBorders>
            <w:shd w:color="auto" w:fill="F5F5F5" w:val="clear"/>
            <w:tcMar>
              <w:right w:w="200" w:type="dxa"/>
            </w:tcMar>
            <w:vAlign w:val="center"/>
          </w:tcPr>
          <w:p>
            <w:pPr>
              <w:pStyle w:val="Normal"/>
              <w:jc w:val="right"/>
              <w:rPr>
                <w:b/>
                <w:bCs/>
                <w:color w:val="000000"/>
                <w:sz w:val="16"/>
                <w:szCs w:val="16"/>
              </w:rPr>
            </w:pPr>
            <w:r>
              <w:rPr>
                <w:b/>
                <w:bCs/>
                <w:color w:val="000000"/>
                <w:sz w:val="16"/>
                <w:szCs w:val="16"/>
              </w:rPr>
              <w:t>100,00</w:t>
            </w:r>
          </w:p>
        </w:tc>
      </w:tr>
      <w:tr>
        <w:trPr>
          <w:trHeight w:val="225" w:hRule="exact"/>
        </w:trPr>
        <w:tc>
          <w:tcPr>
            <w:tcW w:w="16115" w:type="dxa"/>
            <w:gridSpan w:val="10"/>
            <w:tcBorders>
              <w:top w:val="single" w:sz="6" w:space="0" w:color="000000"/>
              <w:left w:val="single" w:sz="6" w:space="0" w:color="000000"/>
              <w:bottom w:val="single" w:sz="6" w:space="0" w:color="000000"/>
              <w:right w:val="single" w:sz="6" w:space="0" w:color="000000"/>
            </w:tcBorders>
          </w:tcPr>
          <w:p>
            <w:pPr>
              <w:pStyle w:val="Normal"/>
              <w:spacing w:lineRule="atLeast" w:line="0"/>
              <w:rPr/>
            </w:pPr>
            <w:r>
              <w:rPr/>
            </w:r>
          </w:p>
        </w:tc>
      </w:tr>
      <w:tr>
        <w:trPr/>
        <w:tc>
          <w:tcPr>
            <w:tcW w:w="1650" w:type="dxa"/>
            <w:gridSpan w:val="2"/>
            <w:tcBorders>
              <w:top w:val="single" w:sz="6" w:space="0" w:color="000000"/>
              <w:left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Укупно за БК</w:t>
            </w:r>
          </w:p>
        </w:tc>
        <w:tc>
          <w:tcPr>
            <w:tcW w:w="899" w:type="dxa"/>
            <w:tcBorders>
              <w:top w:val="single" w:sz="6" w:space="0" w:color="000000"/>
              <w:bottom w:val="single" w:sz="6" w:space="0" w:color="000000"/>
            </w:tcBorders>
            <w:shd w:color="auto" w:fill="E9E9E9" w:val="clear"/>
            <w:vAlign w:val="center"/>
          </w:tcPr>
          <w:p>
            <w:pPr>
              <w:pStyle w:val="Normal"/>
              <w:spacing w:lineRule="atLeast" w:line="0"/>
              <w:rPr/>
            </w:pPr>
            <w:r>
              <w:rPr/>
            </w:r>
          </w:p>
        </w:tc>
        <w:tc>
          <w:tcPr>
            <w:tcW w:w="901" w:type="dxa"/>
            <w:tcBorders>
              <w:top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0</w:t>
            </w:r>
          </w:p>
        </w:tc>
        <w:tc>
          <w:tcPr>
            <w:tcW w:w="5092" w:type="dxa"/>
            <w:tcBorders>
              <w:top w:val="single" w:sz="6" w:space="0" w:color="000000"/>
              <w:bottom w:val="single" w:sz="6" w:space="0" w:color="000000"/>
            </w:tcBorders>
            <w:shd w:color="auto" w:fill="E9E9E9" w:val="clear"/>
            <w:vAlign w:val="center"/>
          </w:tcPr>
          <w:p>
            <w:pPr>
              <w:pStyle w:val="Normal"/>
              <w:rPr>
                <w:b/>
                <w:bCs/>
                <w:color w:val="000000"/>
                <w:sz w:val="16"/>
                <w:szCs w:val="16"/>
              </w:rPr>
            </w:pPr>
            <w:r>
              <w:rPr>
                <w:b/>
                <w:bCs/>
                <w:color w:val="000000"/>
                <w:sz w:val="16"/>
                <w:szCs w:val="16"/>
              </w:rPr>
              <w:t>БУЏЕТ ОПШТИНЕ АРИЉЕ</w:t>
            </w:r>
          </w:p>
        </w:tc>
        <w:tc>
          <w:tcPr>
            <w:tcW w:w="1650"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257.368.800,00</w:t>
            </w:r>
          </w:p>
        </w:tc>
        <w:tc>
          <w:tcPr>
            <w:tcW w:w="1650"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1.112.000,00</w:t>
            </w:r>
          </w:p>
        </w:tc>
        <w:tc>
          <w:tcPr>
            <w:tcW w:w="1649"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8.479.165,00</w:t>
            </w:r>
          </w:p>
        </w:tc>
        <w:tc>
          <w:tcPr>
            <w:tcW w:w="1650" w:type="dxa"/>
            <w:tcBorders>
              <w:top w:val="single" w:sz="6" w:space="0" w:color="000000"/>
              <w:bottom w:val="single" w:sz="6" w:space="0" w:color="000000"/>
            </w:tcBorders>
            <w:shd w:color="auto" w:fill="E9E9E9" w:val="clear"/>
            <w:vAlign w:val="center"/>
          </w:tcPr>
          <w:p>
            <w:pPr>
              <w:pStyle w:val="Normal"/>
              <w:jc w:val="right"/>
              <w:rPr>
                <w:b/>
                <w:bCs/>
                <w:color w:val="000000"/>
                <w:sz w:val="16"/>
                <w:szCs w:val="16"/>
              </w:rPr>
            </w:pPr>
            <w:r>
              <w:rPr>
                <w:b/>
                <w:bCs/>
                <w:color w:val="000000"/>
                <w:sz w:val="16"/>
                <w:szCs w:val="16"/>
              </w:rPr>
              <w:t>266.959.965,00</w:t>
            </w:r>
          </w:p>
        </w:tc>
        <w:tc>
          <w:tcPr>
            <w:tcW w:w="974" w:type="dxa"/>
            <w:tcBorders>
              <w:top w:val="single" w:sz="6" w:space="0" w:color="000000"/>
              <w:bottom w:val="single" w:sz="6" w:space="0" w:color="000000"/>
              <w:right w:val="single" w:sz="6" w:space="0" w:color="000000"/>
            </w:tcBorders>
            <w:shd w:color="auto" w:fill="E9E9E9" w:val="clear"/>
            <w:tcMar>
              <w:right w:w="200" w:type="dxa"/>
            </w:tcMar>
            <w:vAlign w:val="center"/>
          </w:tcPr>
          <w:p>
            <w:pPr>
              <w:pStyle w:val="Normal"/>
              <w:jc w:val="right"/>
              <w:rPr>
                <w:b/>
                <w:bCs/>
                <w:color w:val="000000"/>
                <w:sz w:val="16"/>
                <w:szCs w:val="16"/>
              </w:rPr>
            </w:pPr>
            <w:r>
              <w:rPr>
                <w:b/>
                <w:bCs/>
                <w:color w:val="000000"/>
                <w:sz w:val="16"/>
                <w:szCs w:val="16"/>
              </w:rPr>
              <w:t>100,00</w:t>
            </w:r>
          </w:p>
        </w:tc>
      </w:tr>
    </w:tbl>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6117"/>
      </w:tblGrid>
      <w:tr>
        <w:trPr/>
        <w:tc>
          <w:tcPr>
            <w:tcW w:w="16117" w:type="dxa"/>
            <w:tcBorders/>
          </w:tcPr>
          <w:p>
            <w:pPr>
              <w:pStyle w:val="NormalWeb"/>
              <w:spacing w:before="0" w:after="280"/>
              <w:jc w:val="center"/>
              <w:rPr>
                <w:rStyle w:val="Strong"/>
                <w:color w:val="000000"/>
                <w:lang w:val="sr-Latn-RS"/>
              </w:rPr>
            </w:pPr>
            <w:r>
              <w:rPr>
                <w:color w:val="000000"/>
                <w:lang w:val="sr-Latn-RS"/>
              </w:rPr>
            </w:r>
            <w:bookmarkStart w:id="333" w:name="__bookmark_88"/>
            <w:bookmarkStart w:id="334" w:name="__bookmark_88"/>
            <w:bookmarkEnd w:id="334"/>
          </w:p>
          <w:p>
            <w:pPr>
              <w:pStyle w:val="NormalWeb"/>
              <w:spacing w:before="280" w:after="280"/>
              <w:rPr>
                <w:rStyle w:val="Strong"/>
                <w:color w:val="000000"/>
                <w:lang w:val="sr-RS"/>
              </w:rPr>
            </w:pPr>
            <w:r>
              <w:rPr>
                <w:color w:val="000000"/>
                <w:lang w:val="sr-RS"/>
              </w:rPr>
            </w:r>
          </w:p>
          <w:p>
            <w:pPr>
              <w:pStyle w:val="NormalWeb"/>
              <w:spacing w:before="280" w:after="280"/>
              <w:jc w:val="center"/>
              <w:rPr>
                <w:color w:val="000000"/>
                <w:lang w:val="sr-RS"/>
              </w:rPr>
            </w:pPr>
            <w:r>
              <w:rPr>
                <w:rStyle w:val="Strong"/>
                <w:color w:val="000000"/>
                <w:lang w:val="sr-Latn-RS"/>
              </w:rPr>
              <w:t xml:space="preserve">IV </w:t>
            </w:r>
            <w:r>
              <w:rPr>
                <w:rStyle w:val="Strong"/>
                <w:color w:val="000000"/>
              </w:rPr>
              <w:t>ИЗВРШ</w:t>
            </w:r>
            <w:r>
              <w:rPr>
                <w:rStyle w:val="Strong"/>
                <w:color w:val="000000"/>
                <w:lang w:val="sr-Latn-RS"/>
              </w:rPr>
              <w:t>E</w:t>
            </w:r>
            <w:r>
              <w:rPr>
                <w:rStyle w:val="Strong"/>
                <w:color w:val="000000"/>
              </w:rPr>
              <w:t>ЊЕ БУЏЕТА</w:t>
            </w:r>
          </w:p>
          <w:p>
            <w:pPr>
              <w:pStyle w:val="NormalWeb"/>
              <w:spacing w:before="280" w:after="280"/>
              <w:jc w:val="center"/>
              <w:rPr>
                <w:color w:val="000000"/>
                <w:lang w:val="sr-RS"/>
              </w:rPr>
            </w:pPr>
            <w:r>
              <w:rPr>
                <w:color w:val="000000"/>
                <w:lang w:val="sr-RS"/>
              </w:rPr>
            </w:r>
          </w:p>
          <w:p>
            <w:pPr>
              <w:pStyle w:val="NormalWeb"/>
              <w:spacing w:before="280" w:after="280"/>
              <w:jc w:val="center"/>
              <w:rPr>
                <w:b/>
                <w:color w:val="000000"/>
              </w:rPr>
            </w:pPr>
            <w:r>
              <w:rPr>
                <w:b/>
                <w:color w:val="000000"/>
              </w:rPr>
              <w:t xml:space="preserve">Члан </w:t>
            </w:r>
            <w:r>
              <w:rPr>
                <w:b/>
                <w:color w:val="000000"/>
                <w:lang w:val="sr-RS"/>
              </w:rPr>
              <w:t>9</w:t>
            </w:r>
            <w:r>
              <w:rPr>
                <w:b/>
                <w:color w:val="000000"/>
              </w:rPr>
              <w:t>.</w:t>
            </w:r>
          </w:p>
          <w:p>
            <w:pPr>
              <w:pStyle w:val="Normal"/>
              <w:jc w:val="both"/>
              <w:rPr>
                <w:rFonts w:eastAsia="TimesNewRomanPSMT"/>
                <w:sz w:val="24"/>
                <w:szCs w:val="24"/>
              </w:rPr>
            </w:pPr>
            <w:r>
              <w:rPr>
                <w:rFonts w:eastAsia="TimesNewRomanPSMT"/>
                <w:sz w:val="24"/>
                <w:szCs w:val="24"/>
              </w:rPr>
              <w:t xml:space="preserve">У складу са Упутством за припрему </w:t>
            </w:r>
            <w:r>
              <w:rPr>
                <w:rFonts w:eastAsia="TimesNewRomanPSMT"/>
                <w:sz w:val="24"/>
                <w:szCs w:val="24"/>
                <w:lang w:val="sr-RS"/>
              </w:rPr>
              <w:t>О</w:t>
            </w:r>
            <w:r>
              <w:rPr>
                <w:rFonts w:eastAsia="TimesNewRomanPSMT"/>
                <w:sz w:val="24"/>
                <w:szCs w:val="24"/>
              </w:rPr>
              <w:t>длуке о буџету локалне власти за 202</w:t>
            </w:r>
            <w:r>
              <w:rPr>
                <w:rFonts w:eastAsia="TimesNewRomanPSMT"/>
                <w:sz w:val="24"/>
                <w:szCs w:val="24"/>
                <w:lang w:val="sr-RS"/>
              </w:rPr>
              <w:t>6</w:t>
            </w:r>
            <w:r>
              <w:rPr>
                <w:rFonts w:eastAsia="TimesNewRomanPSMT"/>
                <w:sz w:val="24"/>
                <w:szCs w:val="24"/>
              </w:rPr>
              <w:t>.годину и пројекцијама за 202</w:t>
            </w:r>
            <w:r>
              <w:rPr>
                <w:rFonts w:eastAsia="TimesNewRomanPSMT"/>
                <w:sz w:val="24"/>
                <w:szCs w:val="24"/>
                <w:lang w:val="sr-RS"/>
              </w:rPr>
              <w:t>7</w:t>
            </w:r>
            <w:r>
              <w:rPr>
                <w:rFonts w:eastAsia="TimesNewRomanPSMT"/>
                <w:sz w:val="24"/>
                <w:szCs w:val="24"/>
              </w:rPr>
              <w:t>. и 202</w:t>
            </w:r>
            <w:r>
              <w:rPr>
                <w:rFonts w:eastAsia="TimesNewRomanPSMT"/>
                <w:sz w:val="24"/>
                <w:szCs w:val="24"/>
                <w:lang w:val="sr-RS"/>
              </w:rPr>
              <w:t>8</w:t>
            </w:r>
            <w:r>
              <w:rPr>
                <w:rFonts w:eastAsia="TimesNewRomanPSMT"/>
                <w:sz w:val="24"/>
                <w:szCs w:val="24"/>
              </w:rPr>
              <w:t xml:space="preserve"> годину, које је донео Mинистар надлежан за послове финансија, на основу одредби члана 36а. Закона о буџетском систему („Службени гласник РС“ бр. 54/2009, 73/2010, 101/210, 101/2011, 93/2012, </w:t>
            </w:r>
            <w:r>
              <w:rPr>
                <w:sz w:val="24"/>
                <w:szCs w:val="24"/>
              </w:rPr>
              <w:t xml:space="preserve">63/2013,108/2013,142/2014,68/2015,103/2015,99/2016,113/2017,95/2018,31/2019, </w:t>
            </w:r>
            <w:r>
              <w:rPr>
                <w:spacing w:val="2"/>
                <w:sz w:val="24"/>
                <w:szCs w:val="24"/>
              </w:rPr>
              <w:t>72/2019</w:t>
            </w:r>
            <w:r>
              <w:rPr>
                <w:spacing w:val="2"/>
                <w:sz w:val="24"/>
                <w:szCs w:val="24"/>
                <w:lang w:val="sr-RS"/>
              </w:rPr>
              <w:t xml:space="preserve">, 149/2020, 118/2021, 138/2022, </w:t>
            </w:r>
            <w:r>
              <w:rPr>
                <w:rFonts w:eastAsia="TimesNewRomanPSMT"/>
                <w:sz w:val="24"/>
                <w:szCs w:val="24"/>
                <w:lang w:val="sr-RS"/>
              </w:rPr>
              <w:t>118/2021-др.закон</w:t>
            </w:r>
            <w:r>
              <w:rPr>
                <w:rFonts w:eastAsia="TimesNewRomanPSMT"/>
                <w:sz w:val="24"/>
                <w:szCs w:val="24"/>
              </w:rPr>
              <w:t xml:space="preserve">, </w:t>
            </w:r>
            <w:r>
              <w:rPr>
                <w:rFonts w:eastAsia="TimesNewRomanPSMT"/>
                <w:sz w:val="24"/>
                <w:szCs w:val="24"/>
                <w:lang w:val="sr-RS"/>
              </w:rPr>
              <w:t>92/2023</w:t>
            </w:r>
            <w:r>
              <w:rPr>
                <w:rFonts w:eastAsia="TimesNewRomanPSMT"/>
                <w:sz w:val="24"/>
                <w:szCs w:val="24"/>
              </w:rPr>
              <w:t xml:space="preserve"> </w:t>
            </w:r>
            <w:r>
              <w:rPr>
                <w:rFonts w:eastAsia="TimesNewRomanPSMT"/>
                <w:sz w:val="24"/>
                <w:szCs w:val="24"/>
                <w:lang w:val="sr-RS"/>
              </w:rPr>
              <w:t>и 94/2024</w:t>
            </w:r>
            <w:r>
              <w:rPr>
                <w:rFonts w:eastAsia="TimesNewRomanPSMT"/>
                <w:sz w:val="24"/>
                <w:szCs w:val="24"/>
              </w:rPr>
              <w:t>), број запослених код корисника буџета не може прећи максималан број запослених на неодређено и одређено време, и то:</w:t>
            </w:r>
          </w:p>
          <w:p>
            <w:pPr>
              <w:pStyle w:val="Normal"/>
              <w:numPr>
                <w:ilvl w:val="0"/>
                <w:numId w:val="1"/>
              </w:numPr>
              <w:ind w:hanging="0" w:left="0"/>
              <w:jc w:val="both"/>
              <w:rPr>
                <w:sz w:val="24"/>
                <w:szCs w:val="24"/>
                <w:lang w:val="ru-RU"/>
              </w:rPr>
            </w:pPr>
            <w:r>
              <w:rPr>
                <w:sz w:val="24"/>
                <w:szCs w:val="24"/>
                <w:lang w:val="sr-RS"/>
              </w:rPr>
              <w:t>Предшколска установа „Ариље“ , укупно 95 запослених и то:</w:t>
            </w:r>
            <w:r>
              <w:rPr>
                <w:sz w:val="24"/>
                <w:szCs w:val="24"/>
              </w:rPr>
              <w:t xml:space="preserve"> 66</w:t>
            </w:r>
            <w:r>
              <w:rPr>
                <w:sz w:val="24"/>
                <w:szCs w:val="24"/>
                <w:lang w:val="ru-RU"/>
              </w:rPr>
              <w:t xml:space="preserve"> запослени на неодређено време</w:t>
            </w:r>
            <w:r>
              <w:rPr>
                <w:sz w:val="24"/>
                <w:szCs w:val="24"/>
                <w:lang w:val="sr-RS"/>
              </w:rPr>
              <w:t>, 28 запослена на одређено време и 1постављено лице</w:t>
            </w:r>
          </w:p>
          <w:p>
            <w:pPr>
              <w:pStyle w:val="Normal"/>
              <w:numPr>
                <w:ilvl w:val="0"/>
                <w:numId w:val="1"/>
              </w:numPr>
              <w:ind w:hanging="0" w:left="0"/>
              <w:jc w:val="both"/>
              <w:rPr>
                <w:sz w:val="24"/>
                <w:szCs w:val="24"/>
                <w:lang w:val="ru-RU"/>
              </w:rPr>
            </w:pPr>
            <w:r>
              <w:rPr>
                <w:sz w:val="24"/>
                <w:szCs w:val="24"/>
                <w:lang w:val="sr-RS"/>
              </w:rPr>
              <w:t>Народна библиотека „Добрило Ненадић“, укупно 12 запослених и то: 10 запослених на неодређено време, 1 запослени на одређено време и 1 постављено лице</w:t>
            </w:r>
          </w:p>
          <w:p>
            <w:pPr>
              <w:pStyle w:val="Normal"/>
              <w:numPr>
                <w:ilvl w:val="0"/>
                <w:numId w:val="1"/>
              </w:numPr>
              <w:ind w:hanging="0" w:left="0"/>
              <w:jc w:val="both"/>
              <w:rPr>
                <w:sz w:val="24"/>
                <w:szCs w:val="24"/>
                <w:lang w:val="ru-RU"/>
              </w:rPr>
            </w:pPr>
            <w:r>
              <w:rPr>
                <w:sz w:val="24"/>
                <w:szCs w:val="24"/>
                <w:lang w:val="sr-RS"/>
              </w:rPr>
              <w:t xml:space="preserve">Спортско – туристички центар „Ариље“, укупно </w:t>
            </w:r>
            <w:r>
              <w:rPr>
                <w:sz w:val="24"/>
                <w:szCs w:val="24"/>
                <w:lang w:val="sr-Latn-RS"/>
              </w:rPr>
              <w:t>5</w:t>
            </w:r>
            <w:r>
              <w:rPr>
                <w:sz w:val="24"/>
                <w:szCs w:val="24"/>
                <w:lang w:val="sr-RS"/>
              </w:rPr>
              <w:t xml:space="preserve"> запослених и то: </w:t>
            </w:r>
            <w:r>
              <w:rPr>
                <w:sz w:val="24"/>
                <w:szCs w:val="24"/>
                <w:lang w:val="sr-Latn-RS"/>
              </w:rPr>
              <w:t>4</w:t>
            </w:r>
            <w:r>
              <w:rPr>
                <w:sz w:val="24"/>
                <w:szCs w:val="24"/>
                <w:lang w:val="sr-RS"/>
              </w:rPr>
              <w:t xml:space="preserve"> запослен</w:t>
            </w:r>
            <w:r>
              <w:rPr>
                <w:sz w:val="24"/>
                <w:szCs w:val="24"/>
                <w:lang w:val="sr-Latn-RS"/>
              </w:rPr>
              <w:t>a</w:t>
            </w:r>
            <w:r>
              <w:rPr>
                <w:sz w:val="24"/>
                <w:szCs w:val="24"/>
                <w:lang w:val="sr-RS"/>
              </w:rPr>
              <w:t xml:space="preserve"> на неодређено време и 1 постављено лице</w:t>
            </w:r>
          </w:p>
          <w:p>
            <w:pPr>
              <w:pStyle w:val="Normal"/>
              <w:numPr>
                <w:ilvl w:val="0"/>
                <w:numId w:val="1"/>
              </w:numPr>
              <w:ind w:hanging="0" w:left="0"/>
              <w:jc w:val="both"/>
              <w:rPr>
                <w:sz w:val="24"/>
                <w:szCs w:val="24"/>
                <w:lang w:val="ru-RU"/>
              </w:rPr>
            </w:pPr>
            <w:r>
              <w:rPr>
                <w:sz w:val="24"/>
                <w:szCs w:val="24"/>
                <w:lang w:val="ru-RU"/>
              </w:rPr>
              <w:t xml:space="preserve">У органима локалне власти укупно  </w:t>
            </w:r>
            <w:r>
              <w:rPr>
                <w:sz w:val="24"/>
                <w:szCs w:val="24"/>
                <w:lang w:val="sr-Latn-RS"/>
              </w:rPr>
              <w:t>50</w:t>
            </w:r>
            <w:r>
              <w:rPr>
                <w:sz w:val="24"/>
                <w:szCs w:val="24"/>
                <w:lang w:val="ru-RU"/>
              </w:rPr>
              <w:t xml:space="preserve">  запослених и то: 3</w:t>
            </w:r>
            <w:r>
              <w:rPr>
                <w:sz w:val="24"/>
                <w:szCs w:val="24"/>
                <w:lang w:val="sr-Latn-RS"/>
              </w:rPr>
              <w:t>1</w:t>
            </w:r>
            <w:r>
              <w:rPr>
                <w:sz w:val="24"/>
                <w:szCs w:val="24"/>
                <w:lang w:val="ru-RU"/>
              </w:rPr>
              <w:t xml:space="preserve"> запослених на неодређено време, 12 запослених на одређено време, </w:t>
            </w:r>
            <w:r>
              <w:rPr>
                <w:sz w:val="24"/>
                <w:szCs w:val="24"/>
                <w:lang w:val="sr-Latn-RS"/>
              </w:rPr>
              <w:t>4</w:t>
            </w:r>
            <w:r>
              <w:rPr>
                <w:sz w:val="24"/>
                <w:szCs w:val="24"/>
                <w:lang w:val="ru-RU"/>
              </w:rPr>
              <w:t xml:space="preserve"> постављена лица и</w:t>
            </w:r>
          </w:p>
          <w:p>
            <w:pPr>
              <w:pStyle w:val="Normal"/>
              <w:jc w:val="both"/>
              <w:rPr>
                <w:sz w:val="24"/>
                <w:szCs w:val="24"/>
                <w:lang w:val="ru-RU"/>
              </w:rPr>
            </w:pPr>
            <w:r>
              <w:rPr>
                <w:sz w:val="24"/>
                <w:szCs w:val="24"/>
                <w:lang w:val="ru-RU"/>
              </w:rPr>
              <w:t xml:space="preserve">           </w:t>
            </w:r>
            <w:r>
              <w:rPr>
                <w:sz w:val="24"/>
                <w:szCs w:val="24"/>
                <w:lang w:val="sr-Latn-RS"/>
              </w:rPr>
              <w:t>3</w:t>
            </w:r>
            <w:r>
              <w:rPr>
                <w:sz w:val="24"/>
                <w:szCs w:val="24"/>
                <w:lang w:val="ru-RU"/>
              </w:rPr>
              <w:t xml:space="preserve"> изабрана лица</w:t>
            </w:r>
          </w:p>
          <w:p>
            <w:pPr>
              <w:pStyle w:val="Normal"/>
              <w:rPr>
                <w:rFonts w:eastAsia="TimesNewRomanPSMT"/>
                <w:sz w:val="24"/>
                <w:szCs w:val="24"/>
                <w:lang w:val="sr-RS"/>
              </w:rPr>
            </w:pPr>
            <w:r>
              <w:rPr>
                <w:rFonts w:eastAsia="TimesNewRomanPSMT"/>
                <w:sz w:val="24"/>
                <w:szCs w:val="24"/>
              </w:rPr>
              <w:t>У овој Одлуци о буџету средства за плате се обезбеђују за број запослених из става 1.овог члана.</w:t>
            </w:r>
          </w:p>
          <w:p>
            <w:pPr>
              <w:pStyle w:val="Normal"/>
              <w:rPr>
                <w:rFonts w:eastAsia="TimesNewRomanPSMT"/>
                <w:sz w:val="24"/>
                <w:szCs w:val="24"/>
                <w:lang w:val="sr-RS"/>
              </w:rPr>
            </w:pPr>
            <w:r>
              <w:rPr>
                <w:rFonts w:eastAsia="TimesNewRomanPSMT"/>
                <w:sz w:val="24"/>
                <w:szCs w:val="24"/>
                <w:lang w:val="sr-RS"/>
              </w:rPr>
            </w:r>
          </w:p>
          <w:p>
            <w:pPr>
              <w:pStyle w:val="Normal"/>
              <w:jc w:val="center"/>
              <w:rPr>
                <w:bCs/>
                <w:sz w:val="24"/>
                <w:szCs w:val="24"/>
                <w:lang w:val="sr-RS"/>
              </w:rPr>
            </w:pPr>
            <w:r>
              <w:rPr>
                <w:bCs/>
                <w:sz w:val="24"/>
                <w:szCs w:val="24"/>
                <w:lang w:val="sr-RS"/>
              </w:rPr>
            </w:r>
          </w:p>
          <w:p>
            <w:pPr>
              <w:pStyle w:val="NormalWeb"/>
              <w:spacing w:before="280" w:after="280"/>
              <w:jc w:val="center"/>
              <w:rPr>
                <w:b/>
                <w:color w:val="000000"/>
              </w:rPr>
            </w:pPr>
            <w:r>
              <w:rPr>
                <w:b/>
                <w:color w:val="000000"/>
              </w:rPr>
              <w:t>Члан 1</w:t>
            </w:r>
            <w:r>
              <w:rPr>
                <w:b/>
                <w:color w:val="000000"/>
                <w:lang w:val="sr-RS"/>
              </w:rPr>
              <w:t>0</w:t>
            </w:r>
            <w:r>
              <w:rPr>
                <w:b/>
                <w:color w:val="000000"/>
              </w:rPr>
              <w:t>.</w:t>
            </w:r>
          </w:p>
          <w:p>
            <w:pPr>
              <w:pStyle w:val="NormalWeb"/>
              <w:spacing w:before="280" w:after="280"/>
              <w:jc w:val="both"/>
              <w:rPr>
                <w:color w:val="000000"/>
              </w:rPr>
            </w:pPr>
            <w:r>
              <w:rPr>
                <w:color w:val="000000"/>
              </w:rPr>
              <w:t xml:space="preserve">За извршавање ове Одлуке одговоран је </w:t>
            </w:r>
            <w:r>
              <w:rPr>
                <w:color w:val="000000"/>
                <w:lang w:val="sr-RS"/>
              </w:rPr>
              <w:t>П</w:t>
            </w:r>
            <w:r>
              <w:rPr>
                <w:color w:val="000000"/>
              </w:rPr>
              <w:t>редседник општине.</w:t>
            </w:r>
          </w:p>
          <w:p>
            <w:pPr>
              <w:pStyle w:val="NormalWeb"/>
              <w:spacing w:before="280" w:after="280"/>
              <w:jc w:val="both"/>
              <w:rPr>
                <w:color w:val="000000"/>
                <w:lang w:val="sr-RS"/>
              </w:rPr>
            </w:pPr>
            <w:r>
              <w:rPr>
                <w:color w:val="000000"/>
              </w:rPr>
              <w:t xml:space="preserve">Наредбодавац за извршење буџета је </w:t>
            </w:r>
            <w:r>
              <w:rPr>
                <w:color w:val="000000"/>
                <w:lang w:val="sr-RS"/>
              </w:rPr>
              <w:t>П</w:t>
            </w:r>
            <w:r>
              <w:rPr>
                <w:color w:val="000000"/>
              </w:rPr>
              <w:t>редседник општине.</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1</w:t>
            </w:r>
            <w:r>
              <w:rPr>
                <w:b/>
                <w:color w:val="000000"/>
                <w:lang w:val="sr-RS"/>
              </w:rPr>
              <w:t>1</w:t>
            </w:r>
            <w:r>
              <w:rPr>
                <w:b/>
                <w:color w:val="000000"/>
              </w:rPr>
              <w:t>.</w:t>
            </w:r>
          </w:p>
          <w:p>
            <w:pPr>
              <w:pStyle w:val="NormalWeb"/>
              <w:spacing w:before="280" w:after="280"/>
              <w:jc w:val="both"/>
              <w:rPr>
                <w:color w:val="000000"/>
                <w:lang w:val="sr-RS"/>
              </w:rPr>
            </w:pPr>
            <w:r>
              <w:rPr>
                <w:color w:val="000000"/>
              </w:rPr>
              <w:t>Наредбодавац директних и индиректних корисника буџетских средстава је функционер (руководилац), односно лице које је одговорно за управљање средствима, преузимање обавеза, издавање налога за плаћање који се извршавају из средстава органа, као и за издавање налога за уплату средстава која припадају буџету.</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1</w:t>
            </w:r>
            <w:r>
              <w:rPr>
                <w:b/>
                <w:color w:val="000000"/>
                <w:lang w:val="sr-RS"/>
              </w:rPr>
              <w:t>2</w:t>
            </w:r>
            <w:r>
              <w:rPr>
                <w:b/>
                <w:color w:val="000000"/>
              </w:rPr>
              <w:t>.</w:t>
            </w:r>
          </w:p>
          <w:p>
            <w:pPr>
              <w:pStyle w:val="NormalWeb"/>
              <w:spacing w:before="280" w:after="280"/>
              <w:jc w:val="both"/>
              <w:rPr>
                <w:color w:val="000000"/>
                <w:lang w:val="sr-RS"/>
              </w:rPr>
            </w:pPr>
            <w:r>
              <w:rPr>
                <w:color w:val="000000"/>
              </w:rPr>
              <w:t xml:space="preserve">За законито и наменско коришћење средстава распоређених овом одлуком, поред функционера односно руководиоца директних и индиректних корисника буџетских средстава, одговоран је </w:t>
            </w:r>
            <w:r>
              <w:rPr>
                <w:color w:val="000000"/>
                <w:lang w:val="sr-RS"/>
              </w:rPr>
              <w:t>Н</w:t>
            </w:r>
            <w:r>
              <w:rPr>
                <w:color w:val="000000"/>
              </w:rPr>
              <w:t xml:space="preserve">ачелник </w:t>
            </w:r>
            <w:r>
              <w:rPr>
                <w:color w:val="000000"/>
                <w:lang w:val="sr-RS"/>
              </w:rPr>
              <w:t xml:space="preserve">општинске </w:t>
            </w:r>
            <w:r>
              <w:rPr>
                <w:color w:val="000000"/>
              </w:rPr>
              <w:t>управе</w:t>
            </w:r>
            <w:r>
              <w:rPr>
                <w:color w:val="000000"/>
                <w:lang w:val="sr-RS"/>
              </w:rPr>
              <w:t>.</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1</w:t>
            </w:r>
            <w:r>
              <w:rPr>
                <w:b/>
                <w:color w:val="000000"/>
                <w:lang w:val="sr-RS"/>
              </w:rPr>
              <w:t>3</w:t>
            </w:r>
            <w:r>
              <w:rPr>
                <w:b/>
                <w:color w:val="000000"/>
              </w:rPr>
              <w:t>.</w:t>
            </w:r>
          </w:p>
          <w:p>
            <w:pPr>
              <w:pStyle w:val="NormalWeb"/>
              <w:spacing w:before="280" w:after="280"/>
              <w:jc w:val="both"/>
              <w:rPr>
                <w:color w:val="000000"/>
              </w:rPr>
            </w:pPr>
            <w:r>
              <w:rPr>
                <w:color w:val="000000"/>
              </w:rPr>
              <w:t xml:space="preserve">Орган управе надлежан за финансије обавезан је да редовно прати извршење буџета и најмање два пута годишње информише </w:t>
            </w:r>
            <w:r>
              <w:rPr>
                <w:color w:val="000000"/>
                <w:lang w:val="sr-RS"/>
              </w:rPr>
              <w:t>П</w:t>
            </w:r>
            <w:r>
              <w:rPr>
                <w:color w:val="000000"/>
              </w:rPr>
              <w:t>редседника општине (</w:t>
            </w:r>
            <w:r>
              <w:rPr>
                <w:color w:val="000000"/>
                <w:lang w:val="sr-RS"/>
              </w:rPr>
              <w:t>О</w:t>
            </w:r>
            <w:r>
              <w:rPr>
                <w:color w:val="000000"/>
              </w:rPr>
              <w:t>пштинско веће), а обавезно у року од петнаест дана по истеку шестомесечног, односно деветомесечног периода.</w:t>
            </w:r>
          </w:p>
          <w:p>
            <w:pPr>
              <w:pStyle w:val="NormalWeb"/>
              <w:spacing w:before="280" w:after="280"/>
              <w:jc w:val="both"/>
              <w:rPr>
                <w:color w:val="000000"/>
              </w:rPr>
            </w:pPr>
            <w:r>
              <w:rPr>
                <w:color w:val="000000"/>
              </w:rPr>
              <w:t xml:space="preserve">У року од петнаест дана по подношењу извештаја из става 1. овог члана, </w:t>
            </w:r>
            <w:r>
              <w:rPr>
                <w:color w:val="000000"/>
                <w:lang w:val="sr-RS"/>
              </w:rPr>
              <w:t>О</w:t>
            </w:r>
            <w:r>
              <w:rPr>
                <w:color w:val="000000"/>
              </w:rPr>
              <w:t>пштинско веће усваја и доставља извештај Скупштини општине.</w:t>
            </w:r>
          </w:p>
          <w:p>
            <w:pPr>
              <w:pStyle w:val="NormalWeb"/>
              <w:spacing w:before="280" w:after="280"/>
              <w:jc w:val="both"/>
              <w:rPr>
                <w:color w:val="000000"/>
                <w:lang w:val="sr-RS"/>
              </w:rPr>
            </w:pPr>
            <w:r>
              <w:rPr>
                <w:color w:val="000000"/>
              </w:rPr>
              <w:t>Извештај садржи и одступања између усвојеног буџета и извршења и образложење великих одступања.</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1</w:t>
            </w:r>
            <w:r>
              <w:rPr>
                <w:b/>
                <w:color w:val="000000"/>
                <w:lang w:val="sr-RS"/>
              </w:rPr>
              <w:t>4</w:t>
            </w:r>
            <w:r>
              <w:rPr>
                <w:b/>
                <w:color w:val="000000"/>
              </w:rPr>
              <w:t>.</w:t>
            </w:r>
          </w:p>
          <w:p>
            <w:pPr>
              <w:pStyle w:val="Normal"/>
              <w:jc w:val="both"/>
              <w:rPr>
                <w:sz w:val="24"/>
                <w:szCs w:val="24"/>
              </w:rPr>
            </w:pPr>
            <w:r>
              <w:rPr>
                <w:sz w:val="24"/>
                <w:szCs w:val="24"/>
              </w:rPr>
              <w:t>Ако у току године дође до промене околности која не угрожава утврђене приоритете унутар буџета, износ апропријације који није могуће искористити, преноси се у текућу буџетску резерву и може се користити за намене које нису предвиђене буџетом или за намене за које нису предвиђена средства у довољном обиму.</w:t>
            </w:r>
          </w:p>
          <w:p>
            <w:pPr>
              <w:pStyle w:val="Normal"/>
              <w:jc w:val="both"/>
              <w:rPr>
                <w:sz w:val="24"/>
                <w:szCs w:val="24"/>
              </w:rPr>
            </w:pPr>
            <w:r>
              <w:rPr>
                <w:sz w:val="24"/>
                <w:szCs w:val="24"/>
              </w:rPr>
              <w:t>Укупан износ преусмеравања из става 1. овог члана не може бити већи од износа разлике између максимално могућег износа средстава текуће буџетске резерве утврђене Законом и буџетом одобрених средстава текуће буџетске резерве.</w:t>
            </w:r>
          </w:p>
          <w:p>
            <w:pPr>
              <w:pStyle w:val="NormalWeb"/>
              <w:spacing w:before="280" w:after="280"/>
              <w:rPr>
                <w:lang w:val="sr-RS"/>
              </w:rPr>
            </w:pPr>
            <w:r>
              <w:rPr/>
              <w:t xml:space="preserve">Решење о преносу апропријације у текућу буџетску резерву и преусмеравању из текуће буџетске резерве, у складу са чланом 61. Закона доноси </w:t>
            </w:r>
            <w:r>
              <w:rPr>
                <w:lang w:val="sr-RS"/>
              </w:rPr>
              <w:t>Председник општине.</w:t>
            </w:r>
          </w:p>
          <w:p>
            <w:pPr>
              <w:pStyle w:val="NormalWeb"/>
              <w:spacing w:before="280" w:after="280"/>
              <w:rPr>
                <w:lang w:val="sr-RS"/>
              </w:rPr>
            </w:pPr>
            <w:r>
              <w:rPr>
                <w:lang w:val="sr-RS"/>
              </w:rPr>
            </w:r>
          </w:p>
          <w:p>
            <w:pPr>
              <w:pStyle w:val="NormalWeb"/>
              <w:spacing w:before="280" w:after="280"/>
              <w:jc w:val="center"/>
              <w:rPr>
                <w:b/>
                <w:color w:val="000000"/>
                <w:lang w:val="sr-RS"/>
              </w:rPr>
            </w:pPr>
            <w:r>
              <w:rPr>
                <w:b/>
                <w:color w:val="000000"/>
              </w:rPr>
              <w:t>Члан 1</w:t>
            </w:r>
            <w:r>
              <w:rPr>
                <w:b/>
                <w:color w:val="000000"/>
                <w:lang w:val="sr-RS"/>
              </w:rPr>
              <w:t>5</w:t>
            </w:r>
            <w:r>
              <w:rPr>
                <w:b/>
                <w:color w:val="000000"/>
              </w:rPr>
              <w:t>.</w:t>
            </w:r>
          </w:p>
          <w:p>
            <w:pPr>
              <w:pStyle w:val="Normal"/>
              <w:jc w:val="both"/>
              <w:rPr>
                <w:rFonts w:eastAsia="TimesNewRomanPSMT"/>
                <w:sz w:val="24"/>
                <w:szCs w:val="24"/>
              </w:rPr>
            </w:pPr>
            <w:r>
              <w:rPr>
                <w:rFonts w:eastAsia="TimesNewRomanPSMT"/>
                <w:sz w:val="24"/>
                <w:szCs w:val="24"/>
              </w:rPr>
              <w:t>У оквиру буџета део планираних прихода не распоређује се унапред, већ се задржава на име текуће буџетске резерве. Средства текуће буџетске резерве користе се за непланиране сврхе за које нису утврђене апропријације или за сврхе за које се у току године покаже да апропријације нису биле довољне. Текућа буџетска резерва опредељује се највише до 4% укупних прихода и примања од продаје нефинансијске имовине за буџетску годину.</w:t>
            </w:r>
          </w:p>
          <w:p>
            <w:pPr>
              <w:pStyle w:val="Normal"/>
              <w:jc w:val="both"/>
              <w:rPr>
                <w:rFonts w:eastAsia="TimesNewRomanPSMT"/>
                <w:sz w:val="24"/>
                <w:szCs w:val="24"/>
                <w:lang w:val="sr-RS"/>
              </w:rPr>
            </w:pPr>
            <w:r>
              <w:rPr>
                <w:rFonts w:eastAsia="TimesNewRomanPSMT"/>
                <w:sz w:val="24"/>
                <w:szCs w:val="24"/>
              </w:rPr>
              <w:t xml:space="preserve">Одлуку </w:t>
            </w:r>
            <w:r>
              <w:rPr>
                <w:rFonts w:eastAsia="TimesNewRomanPSMT"/>
                <w:sz w:val="24"/>
                <w:szCs w:val="24"/>
                <w:lang w:val="sr-RS"/>
              </w:rPr>
              <w:t xml:space="preserve">тј. решење </w:t>
            </w:r>
            <w:r>
              <w:rPr>
                <w:rFonts w:eastAsia="TimesNewRomanPSMT"/>
                <w:sz w:val="24"/>
                <w:szCs w:val="24"/>
              </w:rPr>
              <w:t>о промени</w:t>
            </w:r>
            <w:r>
              <w:rPr>
                <w:rFonts w:eastAsia="TimesNewRomanPSMT"/>
                <w:sz w:val="24"/>
                <w:szCs w:val="24"/>
                <w:lang w:val="sr-RS"/>
              </w:rPr>
              <w:t xml:space="preserve"> у а</w:t>
            </w:r>
            <w:r>
              <w:rPr>
                <w:rFonts w:eastAsia="TimesNewRomanPSMT"/>
                <w:sz w:val="24"/>
                <w:szCs w:val="24"/>
              </w:rPr>
              <w:t>пропријациј</w:t>
            </w:r>
            <w:r>
              <w:rPr>
                <w:rFonts w:eastAsia="TimesNewRomanPSMT"/>
                <w:sz w:val="24"/>
                <w:szCs w:val="24"/>
                <w:lang w:val="sr-RS"/>
              </w:rPr>
              <w:t>ама</w:t>
            </w:r>
            <w:r>
              <w:rPr>
                <w:rFonts w:eastAsia="TimesNewRomanPSMT"/>
                <w:sz w:val="24"/>
                <w:szCs w:val="24"/>
              </w:rPr>
              <w:t xml:space="preserve"> и преносу апропријације у текућу буџетску резерву, у складу са чланом 61.Закона о буџетском систему доноси </w:t>
            </w:r>
            <w:r>
              <w:rPr>
                <w:rFonts w:eastAsia="TimesNewRomanPSMT"/>
                <w:sz w:val="24"/>
                <w:szCs w:val="24"/>
                <w:lang w:val="sr-RS"/>
              </w:rPr>
              <w:t>П</w:t>
            </w:r>
            <w:r>
              <w:rPr>
                <w:rFonts w:eastAsia="TimesNewRomanPSMT"/>
                <w:sz w:val="24"/>
                <w:szCs w:val="24"/>
              </w:rPr>
              <w:t>редседник општине.</w:t>
            </w:r>
          </w:p>
          <w:p>
            <w:pPr>
              <w:pStyle w:val="NormalWeb"/>
              <w:spacing w:before="280" w:after="280"/>
              <w:jc w:val="both"/>
              <w:rPr>
                <w:rFonts w:eastAsia="TimesNewRomanPSMT"/>
                <w:lang w:val="sr-RS"/>
              </w:rPr>
            </w:pPr>
            <w:r>
              <w:rPr>
                <w:rFonts w:eastAsia="TimesNewRomanPSMT"/>
                <w:lang w:val="sr-RS"/>
              </w:rPr>
              <w:t>На основу датог решења, локални орган управе задужен за финансије, може извршити преусмеравање апропријације одобрене на име одређеног расхода и издатка који се финансира из општих прихода буџета у износу до 10% вредности апропријације за расход и издатак чији се износ умањује, у оквиру раздела, као и између глава унутар раздела тог директног корисника буџетских средстава.</w:t>
            </w:r>
          </w:p>
          <w:p>
            <w:pPr>
              <w:pStyle w:val="NormalWeb"/>
              <w:spacing w:before="280" w:after="280"/>
              <w:jc w:val="both"/>
              <w:rPr>
                <w:rFonts w:eastAsia="TimesNewRomanPSMT"/>
                <w:lang w:val="sr-RS"/>
              </w:rPr>
            </w:pPr>
            <w:r>
              <w:rPr>
                <w:rFonts w:eastAsia="TimesNewRomanPSMT"/>
                <w:lang w:val="sr-RS"/>
              </w:rPr>
            </w:r>
          </w:p>
          <w:p>
            <w:pPr>
              <w:pStyle w:val="NormalWeb"/>
              <w:tabs>
                <w:tab w:val="clear" w:pos="720"/>
                <w:tab w:val="center" w:pos="8058" w:leader="none"/>
                <w:tab w:val="left" w:pos="10920" w:leader="none"/>
              </w:tabs>
              <w:spacing w:before="280" w:after="280"/>
              <w:rPr>
                <w:b/>
                <w:color w:val="000000"/>
                <w:lang w:val="sr-RS"/>
              </w:rPr>
            </w:pPr>
            <w:r>
              <w:rPr>
                <w:b/>
                <w:color w:val="000000"/>
              </w:rPr>
              <w:tab/>
              <w:t>Члан 1</w:t>
            </w:r>
            <w:r>
              <w:rPr>
                <w:b/>
                <w:color w:val="000000"/>
                <w:lang w:val="sr-RS"/>
              </w:rPr>
              <w:t>6</w:t>
            </w:r>
            <w:r>
              <w:rPr>
                <w:b/>
                <w:color w:val="000000"/>
              </w:rPr>
              <w:t>.</w:t>
            </w:r>
          </w:p>
          <w:p>
            <w:pPr>
              <w:pStyle w:val="Normal"/>
              <w:rPr>
                <w:sz w:val="24"/>
                <w:szCs w:val="24"/>
              </w:rPr>
            </w:pPr>
            <w:r>
              <w:rPr>
                <w:sz w:val="24"/>
                <w:szCs w:val="24"/>
              </w:rPr>
              <w:t>У буџету се планирају средства за сталну буџетску резерву, која се исказује на</w:t>
            </w:r>
            <w:r>
              <w:rPr>
                <w:sz w:val="24"/>
                <w:szCs w:val="24"/>
                <w:lang w:val="sr-RS"/>
              </w:rPr>
              <w:t xml:space="preserve"> </w:t>
            </w:r>
            <w:r>
              <w:rPr>
                <w:sz w:val="24"/>
                <w:szCs w:val="24"/>
              </w:rPr>
              <w:t>апропријацији намењеној за буџетске резерве.</w:t>
            </w:r>
          </w:p>
          <w:p>
            <w:pPr>
              <w:pStyle w:val="Normal"/>
              <w:rPr>
                <w:sz w:val="24"/>
                <w:szCs w:val="24"/>
              </w:rPr>
            </w:pPr>
            <w:r>
              <w:rPr>
                <w:sz w:val="24"/>
                <w:szCs w:val="24"/>
              </w:rPr>
              <w:t>Стална буџетска резерва користи се за финансирање расхода на име учешћа локалне</w:t>
            </w:r>
            <w:r>
              <w:rPr>
                <w:sz w:val="24"/>
                <w:szCs w:val="24"/>
                <w:lang w:val="sr-RS"/>
              </w:rPr>
              <w:t xml:space="preserve"> </w:t>
            </w:r>
            <w:r>
              <w:rPr>
                <w:sz w:val="24"/>
                <w:szCs w:val="24"/>
              </w:rPr>
              <w:t>власти у отклањању последица ванредних околности, као што су земљотрес, поплава, суша,</w:t>
            </w:r>
            <w:r>
              <w:rPr>
                <w:sz w:val="24"/>
                <w:szCs w:val="24"/>
                <w:lang w:val="sr-RS"/>
              </w:rPr>
              <w:t xml:space="preserve"> </w:t>
            </w:r>
            <w:r>
              <w:rPr>
                <w:sz w:val="24"/>
                <w:szCs w:val="24"/>
              </w:rPr>
              <w:t>пожар, клизишта, снежни наноси, град, животињске и биљне болести, еколошка катастрофа и</w:t>
            </w:r>
            <w:r>
              <w:rPr>
                <w:sz w:val="24"/>
                <w:szCs w:val="24"/>
                <w:lang w:val="sr-RS"/>
              </w:rPr>
              <w:t xml:space="preserve"> </w:t>
            </w:r>
            <w:r>
              <w:rPr>
                <w:sz w:val="24"/>
                <w:szCs w:val="24"/>
              </w:rPr>
              <w:t>друге елементарне непогоде, односно других ванредних догађаја, који могу да угрозе живот и</w:t>
            </w:r>
            <w:r>
              <w:rPr>
                <w:sz w:val="24"/>
                <w:szCs w:val="24"/>
                <w:lang w:val="sr-RS"/>
              </w:rPr>
              <w:t xml:space="preserve"> </w:t>
            </w:r>
            <w:r>
              <w:rPr>
                <w:sz w:val="24"/>
                <w:szCs w:val="24"/>
              </w:rPr>
              <w:t>здравље људи или проузрокују штету већих размера.</w:t>
            </w:r>
          </w:p>
          <w:p>
            <w:pPr>
              <w:pStyle w:val="Normal"/>
              <w:rPr>
                <w:sz w:val="24"/>
                <w:szCs w:val="24"/>
              </w:rPr>
            </w:pPr>
            <w:r>
              <w:rPr>
                <w:sz w:val="24"/>
                <w:szCs w:val="24"/>
              </w:rPr>
              <w:t>Стална буџетска резерва опредељује се највише до 0,5% укупних прихода и примања од</w:t>
            </w:r>
            <w:r>
              <w:rPr>
                <w:sz w:val="24"/>
                <w:szCs w:val="24"/>
                <w:lang w:val="sr-RS"/>
              </w:rPr>
              <w:t xml:space="preserve"> </w:t>
            </w:r>
            <w:r>
              <w:rPr>
                <w:sz w:val="24"/>
                <w:szCs w:val="24"/>
              </w:rPr>
              <w:t>продаје нефинансијске имовине за буџетску годину.</w:t>
            </w:r>
          </w:p>
          <w:p>
            <w:pPr>
              <w:pStyle w:val="NormalWeb"/>
              <w:spacing w:before="280" w:after="280"/>
              <w:rPr>
                <w:rFonts w:eastAsia="TimesNewRomanPSMT"/>
                <w:lang w:val="sr-RS"/>
              </w:rPr>
            </w:pPr>
            <w:r>
              <w:rPr>
                <w:rFonts w:eastAsia="TimesNewRomanPSMT"/>
              </w:rPr>
              <w:t xml:space="preserve">Решење о употреби сталне буџетске резерве на предлог Општинске управе, доноси </w:t>
            </w:r>
            <w:r>
              <w:rPr>
                <w:rFonts w:eastAsia="TimesNewRomanPSMT"/>
                <w:lang w:val="sr-RS"/>
              </w:rPr>
              <w:t>П</w:t>
            </w:r>
            <w:r>
              <w:rPr>
                <w:rFonts w:eastAsia="TimesNewRomanPSMT"/>
              </w:rPr>
              <w:t>редседник општине.</w:t>
            </w:r>
          </w:p>
          <w:p>
            <w:pPr>
              <w:pStyle w:val="NormalWeb"/>
              <w:spacing w:before="280" w:after="280"/>
              <w:rPr>
                <w:rFonts w:eastAsia="TimesNewRomanPSMT"/>
                <w:lang w:val="sr-RS"/>
              </w:rPr>
            </w:pPr>
            <w:r>
              <w:rPr>
                <w:rFonts w:eastAsia="TimesNewRomanPSMT"/>
                <w:lang w:val="sr-RS"/>
              </w:rPr>
            </w:r>
          </w:p>
          <w:p>
            <w:pPr>
              <w:pStyle w:val="NormalWeb"/>
              <w:spacing w:before="280" w:after="280"/>
              <w:jc w:val="center"/>
              <w:rPr>
                <w:b/>
                <w:color w:val="000000"/>
                <w:lang w:val="sr-RS"/>
              </w:rPr>
            </w:pPr>
            <w:r>
              <w:rPr>
                <w:b/>
                <w:color w:val="000000"/>
                <w:lang w:val="sr-RS"/>
              </w:rPr>
              <w:t>Члан 17.</w:t>
            </w:r>
          </w:p>
          <w:p>
            <w:pPr>
              <w:pStyle w:val="NormalWeb"/>
              <w:spacing w:before="280" w:after="280"/>
              <w:jc w:val="both"/>
              <w:rPr>
                <w:color w:val="000000"/>
                <w:lang w:val="sr-RS"/>
              </w:rPr>
            </w:pPr>
            <w:r>
              <w:rPr>
                <w:color w:val="000000"/>
              </w:rPr>
              <w:t>Општинско веће одговорно је за спровођење фискалне политике и управљање јавном имовином, приходима и примањима и расходима и издацима на начин који је у складу са Законом о буџетском систему.</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1</w:t>
            </w:r>
            <w:r>
              <w:rPr>
                <w:b/>
                <w:color w:val="000000"/>
                <w:lang w:val="sr-RS"/>
              </w:rPr>
              <w:t>8</w:t>
            </w:r>
            <w:r>
              <w:rPr>
                <w:b/>
                <w:color w:val="000000"/>
              </w:rPr>
              <w:t>.</w:t>
            </w:r>
          </w:p>
          <w:p>
            <w:pPr>
              <w:pStyle w:val="NormalWeb"/>
              <w:spacing w:before="280" w:after="280"/>
              <w:jc w:val="both"/>
              <w:rPr>
                <w:color w:val="000000"/>
                <w:lang w:val="sr-RS"/>
              </w:rPr>
            </w:pPr>
            <w:r>
              <w:rPr>
                <w:color w:val="000000"/>
              </w:rPr>
              <w:t xml:space="preserve">Овлашћује се </w:t>
            </w:r>
            <w:r>
              <w:rPr>
                <w:color w:val="000000"/>
                <w:lang w:val="sr-RS"/>
              </w:rPr>
              <w:t>П</w:t>
            </w:r>
            <w:r>
              <w:rPr>
                <w:color w:val="000000"/>
              </w:rPr>
              <w:t>редседник општине да, у складу са чланом 27ж Закона о буџетском систему, може поднети захтев министарству надлежном за послове финансија за одобрење фискалног дефицита изнад утврђеног дефицита од 10%, уколико је резултат реализације јавних инвестиција, односно примљених трансферних средстава од другог нивоа власти</w:t>
            </w:r>
            <w:r>
              <w:rPr>
                <w:color w:val="000000"/>
                <w:lang w:val="sr-RS"/>
              </w:rPr>
              <w:t>.</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 xml:space="preserve">Члан </w:t>
            </w:r>
            <w:r>
              <w:rPr>
                <w:b/>
                <w:color w:val="000000"/>
                <w:lang w:val="sr-RS"/>
              </w:rPr>
              <w:t>19</w:t>
            </w:r>
            <w:r>
              <w:rPr>
                <w:b/>
                <w:color w:val="000000"/>
              </w:rPr>
              <w:t>.</w:t>
            </w:r>
          </w:p>
          <w:p>
            <w:pPr>
              <w:pStyle w:val="NormalWeb"/>
              <w:spacing w:before="280" w:after="280"/>
              <w:jc w:val="both"/>
              <w:rPr>
                <w:color w:val="000000"/>
                <w:lang w:val="sr-RS"/>
              </w:rPr>
            </w:pPr>
            <w:r>
              <w:rPr>
                <w:color w:val="000000"/>
              </w:rPr>
              <w:t>Новчана средства буџета општине</w:t>
            </w:r>
            <w:r>
              <w:rPr>
                <w:color w:val="000000"/>
                <w:lang w:val="sr-RS"/>
              </w:rPr>
              <w:t xml:space="preserve">, </w:t>
            </w:r>
            <w:r>
              <w:rPr>
                <w:color w:val="000000"/>
              </w:rPr>
              <w:t>директних и индиректних корисника средстава тог буџета, као и других корисника јавних средстава који су укључени у консолидовани рачун трезора општине, воде се и депонују на консолидованом рачуну трезора.</w:t>
            </w:r>
          </w:p>
          <w:p>
            <w:pPr>
              <w:pStyle w:val="NormalWeb"/>
              <w:spacing w:before="280" w:after="280"/>
              <w:jc w:val="center"/>
              <w:rPr>
                <w:b/>
                <w:color w:val="000000"/>
                <w:lang w:val="sr-RS"/>
              </w:rPr>
            </w:pPr>
            <w:r>
              <w:rPr>
                <w:b/>
                <w:color w:val="000000"/>
              </w:rPr>
              <w:t>Члан 2</w:t>
            </w:r>
            <w:r>
              <w:rPr>
                <w:b/>
                <w:color w:val="000000"/>
                <w:lang w:val="sr-RS"/>
              </w:rPr>
              <w:t>0</w:t>
            </w:r>
            <w:r>
              <w:rPr>
                <w:b/>
                <w:color w:val="000000"/>
              </w:rPr>
              <w:t>.</w:t>
            </w:r>
          </w:p>
          <w:p>
            <w:pPr>
              <w:pStyle w:val="NormalWeb"/>
              <w:spacing w:before="280" w:after="280"/>
              <w:jc w:val="center"/>
              <w:rPr>
                <w:b/>
                <w:color w:val="000000"/>
                <w:lang w:val="sr-RS"/>
              </w:rPr>
            </w:pPr>
            <w:r>
              <w:rPr>
                <w:b/>
                <w:color w:val="000000"/>
                <w:lang w:val="sr-RS"/>
              </w:rPr>
            </w:r>
          </w:p>
          <w:p>
            <w:pPr>
              <w:pStyle w:val="Normal"/>
              <w:jc w:val="both"/>
              <w:rPr>
                <w:sz w:val="24"/>
                <w:szCs w:val="24"/>
                <w:lang w:val="sr-CS"/>
              </w:rPr>
            </w:pPr>
            <w:r>
              <w:rPr>
                <w:sz w:val="24"/>
                <w:szCs w:val="24"/>
                <w:lang w:val="sr-CS"/>
              </w:rPr>
              <w:t xml:space="preserve">           </w:t>
            </w:r>
            <w:r>
              <w:rPr>
                <w:sz w:val="24"/>
                <w:szCs w:val="24"/>
                <w:lang w:val="sr-CS"/>
              </w:rPr>
              <w:t>Обавезе које преузимају директни и индиректни корисници буџетских средстава морају одговарати апропријацији која им је за ту намену овом одлуком одобрена и пренета.</w:t>
            </w:r>
          </w:p>
          <w:p>
            <w:pPr>
              <w:pStyle w:val="Normal"/>
              <w:jc w:val="both"/>
              <w:rPr>
                <w:sz w:val="24"/>
                <w:szCs w:val="24"/>
                <w:lang w:val="sr-CS"/>
              </w:rPr>
            </w:pPr>
            <w:r>
              <w:rPr>
                <w:sz w:val="24"/>
                <w:szCs w:val="24"/>
                <w:lang w:val="sr-CS"/>
              </w:rPr>
              <w:t xml:space="preserve">            </w:t>
            </w:r>
            <w:r>
              <w:rPr>
                <w:sz w:val="24"/>
                <w:szCs w:val="24"/>
                <w:lang w:val="sr-CS"/>
              </w:rPr>
              <w:t>Изузетно корисници из става 1. овог члана, у складу са чланом 54. Закона о буџетском систему, могу преузети обавезе по уговору који се односи на капиталне издатке и захтева плаћање у више година, на основу предлога органа надлежног за послове финансија , уз сагласност Општинског већа а највише до износа исказаних у плану капиталних издатака у члану 6. ове одлуке .</w:t>
            </w:r>
          </w:p>
          <w:p>
            <w:pPr>
              <w:pStyle w:val="Normal"/>
              <w:jc w:val="both"/>
              <w:rPr>
                <w:sz w:val="24"/>
                <w:szCs w:val="24"/>
                <w:lang w:val="sr-CS"/>
              </w:rPr>
            </w:pPr>
            <w:r>
              <w:rPr>
                <w:sz w:val="24"/>
                <w:szCs w:val="24"/>
                <w:lang w:val="sr-CS"/>
              </w:rPr>
            </w:r>
          </w:p>
          <w:p>
            <w:pPr>
              <w:pStyle w:val="NormalWeb"/>
              <w:spacing w:before="280" w:after="280"/>
              <w:jc w:val="center"/>
              <w:rPr>
                <w:b/>
                <w:color w:val="000000"/>
              </w:rPr>
            </w:pPr>
            <w:r>
              <w:rPr>
                <w:b/>
                <w:color w:val="000000"/>
              </w:rPr>
              <w:t>Члан 2</w:t>
            </w:r>
            <w:r>
              <w:rPr>
                <w:b/>
                <w:color w:val="000000"/>
                <w:lang w:val="sr-RS"/>
              </w:rPr>
              <w:t>1</w:t>
            </w:r>
            <w:r>
              <w:rPr>
                <w:b/>
                <w:color w:val="000000"/>
              </w:rPr>
              <w:t>.</w:t>
            </w:r>
          </w:p>
          <w:p>
            <w:pPr>
              <w:pStyle w:val="NormalWeb"/>
              <w:spacing w:before="280" w:after="280"/>
              <w:jc w:val="both"/>
              <w:rPr>
                <w:color w:val="000000"/>
              </w:rPr>
            </w:pPr>
            <w:r>
              <w:rPr>
                <w:color w:val="000000"/>
              </w:rPr>
              <w:t xml:space="preserve">Корисници буџетских средстава су обавезни, да пре покретања поступка јавне набавке за преузимање обавеза по уговору за капиталне пројекте прибаве сагласност </w:t>
            </w:r>
            <w:r>
              <w:rPr>
                <w:color w:val="000000"/>
                <w:lang w:val="sr-RS"/>
              </w:rPr>
              <w:t>Општинске управе</w:t>
            </w:r>
            <w:r>
              <w:rPr>
                <w:color w:val="000000"/>
              </w:rPr>
              <w:t>.</w:t>
            </w:r>
          </w:p>
          <w:p>
            <w:pPr>
              <w:pStyle w:val="NormalWeb"/>
              <w:spacing w:before="280" w:after="280"/>
              <w:jc w:val="both"/>
              <w:rPr>
                <w:color w:val="000000"/>
              </w:rPr>
            </w:pPr>
            <w:r>
              <w:rPr>
                <w:color w:val="000000"/>
              </w:rPr>
              <w:t>Корисник буџетских средстава, који одређени расход извршава из средстава буџета и из других прихода, обавезан је да измирење тог расхода прво врши из прихода из тих других извора.</w:t>
            </w:r>
          </w:p>
          <w:p>
            <w:pPr>
              <w:pStyle w:val="NormalWeb"/>
              <w:spacing w:before="280" w:after="280"/>
              <w:jc w:val="both"/>
              <w:rPr>
                <w:color w:val="000000"/>
                <w:lang w:val="sr-RS"/>
              </w:rPr>
            </w:pPr>
            <w:r>
              <w:rPr>
                <w:color w:val="000000"/>
              </w:rPr>
              <w:t xml:space="preserve">Обавезе преузете у 2025. години, у складу са одобреним апропријацијама у тој години, а неизвршене у току 2025. године, преносе се у 2026. годину и имају статус преузетих обавеза и извршавају се на терет одобрених апропријација </w:t>
            </w:r>
            <w:r>
              <w:rPr>
                <w:color w:val="000000"/>
                <w:lang w:val="sr-RS"/>
              </w:rPr>
              <w:t>овом одлуком</w:t>
            </w:r>
            <w:r>
              <w:rPr>
                <w:color w:val="000000"/>
              </w:rPr>
              <w:t>.</w:t>
            </w:r>
          </w:p>
          <w:p>
            <w:pPr>
              <w:pStyle w:val="NormalWeb"/>
              <w:spacing w:before="280" w:after="280"/>
              <w:jc w:val="both"/>
              <w:rPr>
                <w:color w:val="000000"/>
                <w:lang w:val="sr-RS"/>
              </w:rPr>
            </w:pPr>
            <w:r>
              <w:rPr>
                <w:color w:val="000000"/>
                <w:lang w:val="sr-RS"/>
              </w:rPr>
              <w:t>Расположива апропријација корисника који има преузете обавезе које преноси у 2026. годину рачуна се по формули одобрена апропријација за 2026 годину - преузете обавезе из 2025. године = расположива апропријација у 2026. години.</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2</w:t>
            </w:r>
            <w:r>
              <w:rPr>
                <w:b/>
                <w:color w:val="000000"/>
                <w:lang w:val="sr-RS"/>
              </w:rPr>
              <w:t>2</w:t>
            </w:r>
            <w:r>
              <w:rPr>
                <w:b/>
                <w:color w:val="000000"/>
              </w:rPr>
              <w:t>.</w:t>
            </w:r>
          </w:p>
          <w:p>
            <w:pPr>
              <w:pStyle w:val="NormalWeb"/>
              <w:spacing w:before="280" w:after="280"/>
              <w:jc w:val="both"/>
              <w:rPr>
                <w:color w:val="000000"/>
                <w:lang w:val="sr-RS"/>
              </w:rPr>
            </w:pPr>
            <w:r>
              <w:rPr>
                <w:color w:val="000000"/>
              </w:rPr>
              <w:t>Преузете обавезе и све финансијске обавезе морају бити извршене искључиво на принципу готовинске основе са консолидованог рачуна трезора, осим ако је законом, односно актом Владе предвиђен другачији метод.</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2</w:t>
            </w:r>
            <w:r>
              <w:rPr>
                <w:b/>
                <w:color w:val="000000"/>
                <w:lang w:val="sr-RS"/>
              </w:rPr>
              <w:t>3</w:t>
            </w:r>
            <w:r>
              <w:rPr>
                <w:b/>
                <w:color w:val="000000"/>
              </w:rPr>
              <w:t>.</w:t>
            </w:r>
          </w:p>
          <w:p>
            <w:pPr>
              <w:pStyle w:val="NormalWeb"/>
              <w:spacing w:before="280" w:after="280"/>
              <w:jc w:val="both"/>
              <w:rPr>
                <w:color w:val="000000"/>
              </w:rPr>
            </w:pPr>
            <w:r>
              <w:rPr>
                <w:color w:val="000000"/>
              </w:rPr>
              <w:t>Корисници буџетских средстава преузимају обавезе само на основу писаног уговора или другог правног акта, уколико законом није друкчије прописано.</w:t>
            </w:r>
          </w:p>
          <w:p>
            <w:pPr>
              <w:pStyle w:val="NormalWeb"/>
              <w:spacing w:before="280" w:after="280"/>
              <w:jc w:val="both"/>
              <w:rPr>
                <w:color w:val="000000"/>
                <w:lang w:val="sr-RS"/>
              </w:rPr>
            </w:pPr>
            <w:r>
              <w:rPr>
                <w:color w:val="000000"/>
              </w:rPr>
              <w:t>Плаћање из буџета неће се извршити уколико нису поштоване процедуре утврђене чланом 56. став 3. Закона о буџетском систему.</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2</w:t>
            </w:r>
            <w:r>
              <w:rPr>
                <w:b/>
                <w:color w:val="000000"/>
                <w:lang w:val="sr-RS"/>
              </w:rPr>
              <w:t>4</w:t>
            </w:r>
            <w:r>
              <w:rPr>
                <w:b/>
                <w:color w:val="000000"/>
              </w:rPr>
              <w:t>.</w:t>
            </w:r>
          </w:p>
          <w:p>
            <w:pPr>
              <w:pStyle w:val="NormalWeb"/>
              <w:spacing w:before="280" w:after="280"/>
              <w:jc w:val="both"/>
              <w:rPr>
                <w:color w:val="000000"/>
                <w:lang w:val="sr-RS"/>
              </w:rPr>
            </w:pPr>
            <w:r>
              <w:rPr>
                <w:color w:val="000000"/>
              </w:rPr>
              <w:t>Корисници буџетских средстава приликом додељивања уговора о набавци добара, пружању услуга или извођењу грађевинских радова, морају да поступе у складу са Законом о јавним набавкама („Службени гласник РС", број 91/2019 и 92/2023).</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2</w:t>
            </w:r>
            <w:r>
              <w:rPr>
                <w:b/>
                <w:color w:val="000000"/>
                <w:lang w:val="sr-RS"/>
              </w:rPr>
              <w:t>5</w:t>
            </w:r>
            <w:r>
              <w:rPr>
                <w:b/>
                <w:color w:val="000000"/>
              </w:rPr>
              <w:t>.</w:t>
            </w:r>
          </w:p>
          <w:p>
            <w:pPr>
              <w:pStyle w:val="NormalWeb"/>
              <w:spacing w:before="280" w:after="280"/>
              <w:jc w:val="both"/>
              <w:rPr>
                <w:color w:val="000000"/>
              </w:rPr>
            </w:pPr>
            <w:r>
              <w:rPr>
                <w:color w:val="000000"/>
              </w:rPr>
              <w:t>Обавезе према корисницима буџетских средстава извршавају се сразмерно оствареним примањима буџета.</w:t>
            </w:r>
          </w:p>
          <w:p>
            <w:pPr>
              <w:pStyle w:val="NormalWeb"/>
              <w:spacing w:before="280" w:after="280"/>
              <w:jc w:val="both"/>
              <w:rPr>
                <w:color w:val="000000"/>
                <w:lang w:val="sr-RS"/>
              </w:rPr>
            </w:pPr>
            <w:r>
              <w:rPr>
                <w:color w:val="000000"/>
              </w:rPr>
              <w:t>Ако се у току године примања смање, издаци буџета извршаваће се по приоритетима, и то: обавезе утврђене законским прописима на постојећем нивоу и минимални стални трошкови неопходни за несметано функционисање корисника буџетских средстава.</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2</w:t>
            </w:r>
            <w:r>
              <w:rPr>
                <w:b/>
                <w:color w:val="000000"/>
                <w:lang w:val="sr-RS"/>
              </w:rPr>
              <w:t>6</w:t>
            </w:r>
            <w:r>
              <w:rPr>
                <w:b/>
                <w:color w:val="000000"/>
              </w:rPr>
              <w:t>.</w:t>
            </w:r>
          </w:p>
          <w:p>
            <w:pPr>
              <w:pStyle w:val="NormalWeb"/>
              <w:spacing w:before="280" w:after="280"/>
              <w:jc w:val="both"/>
              <w:rPr>
                <w:color w:val="000000"/>
              </w:rPr>
            </w:pPr>
            <w:r>
              <w:rPr>
                <w:color w:val="000000"/>
              </w:rPr>
              <w:t>Средства распоређена за финансирање расхода и издатака корисника буџета, преносе се на основу њиховог захтева и у складу за одобреним</w:t>
            </w:r>
            <w:r>
              <w:rPr>
                <w:color w:val="000000"/>
                <w:lang w:val="sr-RS"/>
              </w:rPr>
              <w:t xml:space="preserve"> месечним </w:t>
            </w:r>
            <w:r>
              <w:rPr>
                <w:color w:val="000000"/>
              </w:rPr>
              <w:t xml:space="preserve"> квотама  </w:t>
            </w:r>
            <w:r>
              <w:rPr>
                <w:color w:val="000000"/>
                <w:lang w:val="sr-RS"/>
              </w:rPr>
              <w:t>кроз информациони систем СПИРИ</w:t>
            </w:r>
            <w:r>
              <w:rPr>
                <w:color w:val="000000"/>
              </w:rPr>
              <w:t>.</w:t>
            </w:r>
          </w:p>
          <w:p>
            <w:pPr>
              <w:pStyle w:val="NormalWeb"/>
              <w:spacing w:before="280" w:after="280"/>
              <w:jc w:val="both"/>
              <w:rPr>
                <w:color w:val="000000"/>
                <w:lang w:val="sr-RS"/>
              </w:rPr>
            </w:pPr>
            <w:r>
              <w:rPr>
                <w:color w:val="000000"/>
              </w:rPr>
              <w:t>Уз захтев, корисници су дужни да доставе комплетну документацију за плаћање (копије).</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rPr>
            </w:pPr>
            <w:r>
              <w:rPr>
                <w:b/>
                <w:color w:val="000000"/>
              </w:rPr>
              <w:t>Члан 2</w:t>
            </w:r>
            <w:r>
              <w:rPr>
                <w:b/>
                <w:color w:val="000000"/>
                <w:lang w:val="sr-RS"/>
              </w:rPr>
              <w:t>7</w:t>
            </w:r>
            <w:r>
              <w:rPr>
                <w:b/>
                <w:color w:val="000000"/>
              </w:rPr>
              <w:t>.</w:t>
            </w:r>
          </w:p>
          <w:p>
            <w:pPr>
              <w:pStyle w:val="NormalWeb"/>
              <w:spacing w:before="280" w:after="280"/>
              <w:jc w:val="both"/>
              <w:rPr>
                <w:color w:val="000000"/>
                <w:lang w:val="sr-RS"/>
              </w:rPr>
            </w:pPr>
            <w:r>
              <w:rPr>
                <w:color w:val="000000"/>
              </w:rPr>
              <w:t xml:space="preserve">Новчана средства на консолидованом рачуну трезора могу се инвестирати у 2026. години само у складу са чланом 10. Закона о буџетском систему, при чему су, у складу са истим чланом Закона, </w:t>
            </w:r>
            <w:r>
              <w:rPr>
                <w:color w:val="000000"/>
                <w:lang w:val="sr-RS"/>
              </w:rPr>
              <w:t>П</w:t>
            </w:r>
            <w:r>
              <w:rPr>
                <w:color w:val="000000"/>
              </w:rPr>
              <w:t>редседник општине</w:t>
            </w:r>
            <w:r>
              <w:rPr>
                <w:color w:val="000000"/>
                <w:lang w:val="sr-RS"/>
              </w:rPr>
              <w:t xml:space="preserve">, </w:t>
            </w:r>
            <w:r>
              <w:rPr>
                <w:color w:val="000000"/>
              </w:rPr>
              <w:t>односно лице које он овласти, одговорни за ефикасност и сигурност тог инвестирања.</w:t>
            </w:r>
          </w:p>
          <w:p>
            <w:pPr>
              <w:pStyle w:val="NormalWeb"/>
              <w:spacing w:before="280" w:after="280"/>
              <w:jc w:val="center"/>
              <w:rPr>
                <w:b/>
                <w:color w:val="000000"/>
                <w:lang w:val="sr-RS"/>
              </w:rPr>
            </w:pPr>
            <w:r>
              <w:rPr>
                <w:b/>
                <w:color w:val="000000"/>
              </w:rPr>
              <w:t>Члан 2</w:t>
            </w:r>
            <w:r>
              <w:rPr>
                <w:b/>
                <w:color w:val="000000"/>
                <w:lang w:val="sr-RS"/>
              </w:rPr>
              <w:t>8</w:t>
            </w:r>
            <w:r>
              <w:rPr>
                <w:b/>
                <w:color w:val="000000"/>
              </w:rPr>
              <w:t>.</w:t>
            </w:r>
          </w:p>
          <w:p>
            <w:pPr>
              <w:pStyle w:val="NormalWeb"/>
              <w:spacing w:before="280" w:after="280"/>
              <w:jc w:val="center"/>
              <w:rPr>
                <w:b/>
                <w:color w:val="000000"/>
                <w:lang w:val="sr-RS"/>
              </w:rPr>
            </w:pPr>
            <w:r>
              <w:rPr>
                <w:b/>
                <w:color w:val="000000"/>
                <w:lang w:val="sr-RS"/>
              </w:rPr>
            </w:r>
          </w:p>
          <w:p>
            <w:pPr>
              <w:pStyle w:val="NormalWeb"/>
              <w:spacing w:before="280" w:after="280"/>
              <w:jc w:val="both"/>
              <w:rPr>
                <w:color w:val="000000"/>
                <w:lang w:val="sr-RS"/>
              </w:rPr>
            </w:pPr>
            <w:r>
              <w:rPr>
                <w:color w:val="000000"/>
              </w:rPr>
              <w:t>Директни и индиректни корисници буџетских средстава у 2026. години обрачунату исправку вредности нефинансијске имовине исказују на терет капитала, односно не исказују расход амортизације и употребе</w:t>
            </w:r>
            <w:r>
              <w:rPr>
                <w:color w:val="000000"/>
                <w:lang w:val="sr-RS"/>
              </w:rPr>
              <w:t xml:space="preserve"> основних </w:t>
            </w:r>
            <w:r>
              <w:rPr>
                <w:color w:val="000000"/>
              </w:rPr>
              <w:t xml:space="preserve"> средстава.</w:t>
            </w:r>
          </w:p>
          <w:p>
            <w:pPr>
              <w:pStyle w:val="NormalWeb"/>
              <w:spacing w:before="280" w:after="280"/>
              <w:jc w:val="center"/>
              <w:rPr>
                <w:b/>
                <w:color w:val="000000"/>
                <w:lang w:val="sr-RS"/>
              </w:rPr>
            </w:pPr>
            <w:r>
              <w:rPr>
                <w:b/>
                <w:color w:val="000000"/>
              </w:rPr>
              <w:t xml:space="preserve">Члан </w:t>
            </w:r>
            <w:r>
              <w:rPr>
                <w:b/>
                <w:color w:val="000000"/>
                <w:lang w:val="sr-RS"/>
              </w:rPr>
              <w:t>29.</w:t>
            </w:r>
          </w:p>
          <w:p>
            <w:pPr>
              <w:pStyle w:val="NormalWeb"/>
              <w:spacing w:before="280" w:after="280"/>
              <w:jc w:val="both"/>
              <w:rPr>
                <w:color w:val="000000"/>
                <w:lang w:val="sr-RS"/>
              </w:rPr>
            </w:pPr>
            <w:r>
              <w:rPr>
                <w:color w:val="000000"/>
              </w:rPr>
              <w:t xml:space="preserve">За финансирање дефицита текуће ликвидности, који може да настане услед неуравнотеженост кретања у приходима </w:t>
            </w:r>
            <w:r>
              <w:rPr>
                <w:color w:val="000000"/>
                <w:lang w:val="sr-RS"/>
              </w:rPr>
              <w:t>и расходима буџета, Председник</w:t>
            </w:r>
            <w:r>
              <w:rPr>
                <w:color w:val="000000"/>
              </w:rPr>
              <w:t xml:space="preserve"> општине може се задужити у складу са одредбама члана 35. Закона о јавном дугу („Службени гласник РС", број 61/2005, 107/2009, 78/2011, 68/2015, 95/2018, 91/2019 и 149/2020).</w:t>
            </w:r>
          </w:p>
          <w:p>
            <w:pPr>
              <w:pStyle w:val="NormalWeb"/>
              <w:spacing w:before="280" w:after="280"/>
              <w:jc w:val="center"/>
              <w:rPr>
                <w:b/>
                <w:color w:val="000000"/>
                <w:lang w:val="sr-RS"/>
              </w:rPr>
            </w:pPr>
            <w:r>
              <w:rPr>
                <w:b/>
                <w:color w:val="000000"/>
              </w:rPr>
              <w:t>Члан 3</w:t>
            </w:r>
            <w:r>
              <w:rPr>
                <w:b/>
                <w:color w:val="000000"/>
                <w:lang w:val="sr-RS"/>
              </w:rPr>
              <w:t>0</w:t>
            </w:r>
            <w:r>
              <w:rPr>
                <w:b/>
                <w:color w:val="000000"/>
              </w:rPr>
              <w:t>.</w:t>
            </w:r>
          </w:p>
          <w:p>
            <w:pPr>
              <w:pStyle w:val="NormalWeb"/>
              <w:spacing w:before="280" w:after="280"/>
              <w:jc w:val="both"/>
              <w:rPr>
                <w:color w:val="000000"/>
                <w:lang w:val="sr-RS"/>
              </w:rPr>
            </w:pPr>
            <w:r>
              <w:rPr>
                <w:color w:val="000000"/>
              </w:rPr>
              <w:t xml:space="preserve">Корисници буџетских средстава пренеће на рачун извршења буџета до 31. децембра 2026. године, средства која нису утрошена за финансирање расхода у 2026. години, која су овим корисницима пренета у складу са Одлуком о буџету општине </w:t>
            </w:r>
            <w:r>
              <w:rPr>
                <w:color w:val="000000"/>
                <w:lang w:val="sr-RS"/>
              </w:rPr>
              <w:t>Ариље</w:t>
            </w:r>
            <w:r>
              <w:rPr>
                <w:color w:val="000000"/>
              </w:rPr>
              <w:t xml:space="preserve"> за 2026. годину.</w:t>
            </w:r>
          </w:p>
          <w:p>
            <w:pPr>
              <w:pStyle w:val="NormalWeb"/>
              <w:spacing w:before="280" w:after="280"/>
              <w:jc w:val="center"/>
              <w:rPr>
                <w:b/>
                <w:color w:val="000000"/>
              </w:rPr>
            </w:pPr>
            <w:r>
              <w:rPr>
                <w:b/>
                <w:color w:val="000000"/>
              </w:rPr>
              <w:t>Члан 3</w:t>
            </w:r>
            <w:r>
              <w:rPr>
                <w:b/>
                <w:color w:val="000000"/>
                <w:lang w:val="sr-RS"/>
              </w:rPr>
              <w:t>1</w:t>
            </w:r>
            <w:r>
              <w:rPr>
                <w:b/>
                <w:color w:val="000000"/>
              </w:rPr>
              <w:t>.</w:t>
            </w:r>
          </w:p>
          <w:p>
            <w:pPr>
              <w:pStyle w:val="NormalWeb"/>
              <w:spacing w:before="280" w:after="280"/>
              <w:jc w:val="both"/>
              <w:rPr>
                <w:color w:val="000000"/>
                <w:lang w:val="sr-RS"/>
              </w:rPr>
            </w:pPr>
            <w:r>
              <w:rPr>
                <w:color w:val="000000"/>
              </w:rPr>
              <w:t xml:space="preserve">Изузетно, у случају да се буџету општине </w:t>
            </w:r>
            <w:r>
              <w:rPr>
                <w:color w:val="000000"/>
                <w:lang w:val="sr-RS"/>
              </w:rPr>
              <w:t>Ариље</w:t>
            </w:r>
            <w:r>
              <w:rPr>
                <w:color w:val="000000"/>
              </w:rPr>
              <w:t xml:space="preserve"> из другог буџета (Републике</w:t>
            </w:r>
            <w:r>
              <w:rPr>
                <w:color w:val="000000"/>
                <w:lang w:val="sr-RS"/>
              </w:rPr>
              <w:t xml:space="preserve"> или </w:t>
            </w:r>
            <w:r>
              <w:rPr>
                <w:color w:val="000000"/>
              </w:rPr>
              <w:t xml:space="preserve">друге општине) определе актом наменска трансферна средства, укључујући и наменска трансферна средства за надокнаду штета услед елементарних непогода, као и у случају уговарања донације, чији износи нису могли бити познати у поступку доношења ове одлуке, </w:t>
            </w:r>
            <w:r>
              <w:rPr>
                <w:color w:val="000000"/>
                <w:lang w:val="sr-RS"/>
              </w:rPr>
              <w:t>орган управе надлежан за финансије</w:t>
            </w:r>
            <w:r>
              <w:rPr>
                <w:color w:val="000000"/>
              </w:rPr>
              <w:t xml:space="preserve"> на основу тог акта отвара одговарајуће апропријације за извршење расхода по том основу, у складу са чланом 5. Закона о буџетском систему.</w:t>
            </w:r>
          </w:p>
          <w:p>
            <w:pPr>
              <w:pStyle w:val="NormalWeb"/>
              <w:spacing w:before="280" w:after="280"/>
              <w:jc w:val="both"/>
              <w:rPr>
                <w:color w:val="000000"/>
                <w:lang w:val="sr-RS"/>
              </w:rPr>
            </w:pPr>
            <w:r>
              <w:rPr>
                <w:color w:val="000000"/>
                <w:lang w:val="sr-RS"/>
              </w:rPr>
              <w:t>Решење о увећању прихода и примања и извршавању расхода и издатака из тих прихода доноси Председник општине.</w:t>
            </w:r>
          </w:p>
          <w:p>
            <w:pPr>
              <w:pStyle w:val="NormalWeb"/>
              <w:spacing w:before="280" w:after="280"/>
              <w:jc w:val="center"/>
              <w:rPr>
                <w:color w:val="000000"/>
              </w:rPr>
            </w:pPr>
            <w:r>
              <w:rPr>
                <w:b/>
                <w:color w:val="000000"/>
              </w:rPr>
              <w:t>Члан 3</w:t>
            </w:r>
            <w:r>
              <w:rPr>
                <w:b/>
                <w:color w:val="000000"/>
                <w:lang w:val="sr-RS"/>
              </w:rPr>
              <w:t>2</w:t>
            </w:r>
            <w:r>
              <w:rPr>
                <w:color w:val="000000"/>
              </w:rPr>
              <w:t>.</w:t>
            </w:r>
          </w:p>
          <w:p>
            <w:pPr>
              <w:pStyle w:val="NormalWeb"/>
              <w:spacing w:before="280" w:after="280"/>
              <w:jc w:val="both"/>
              <w:rPr>
                <w:color w:val="000000"/>
                <w:lang w:val="sr-RS"/>
              </w:rPr>
            </w:pPr>
            <w:r>
              <w:rPr>
                <w:color w:val="000000"/>
              </w:rPr>
              <w:t>Плаћање са консолидованог рачуна трезора за реализацију обавеза других корисника јавних средстава, у смислу Закона о буџетском систему, који су укључени у систем консолидованог рачуна трезора, неће се вршити уколико ови корисници нису добили сагласност на финансијски план на начин прописан законом, односно актом Скупштине општине и уколико тај план нису доставили Управи за трезор.</w:t>
            </w:r>
          </w:p>
          <w:p>
            <w:pPr>
              <w:pStyle w:val="NormalWeb"/>
              <w:spacing w:before="280" w:after="280"/>
              <w:jc w:val="both"/>
              <w:rPr>
                <w:color w:val="000000"/>
                <w:lang w:val="sr-RS"/>
              </w:rPr>
            </w:pPr>
            <w:r>
              <w:rPr>
                <w:color w:val="000000"/>
                <w:lang w:val="sr-RS"/>
              </w:rPr>
            </w:r>
          </w:p>
          <w:p>
            <w:pPr>
              <w:pStyle w:val="NormalWeb"/>
              <w:spacing w:before="280" w:after="280"/>
              <w:jc w:val="center"/>
              <w:rPr>
                <w:b/>
              </w:rPr>
            </w:pPr>
            <w:r>
              <w:rPr>
                <w:b/>
              </w:rPr>
              <w:t>Члан 3</w:t>
            </w:r>
            <w:r>
              <w:rPr>
                <w:b/>
                <w:lang w:val="sr-RS"/>
              </w:rPr>
              <w:t>3</w:t>
            </w:r>
            <w:r>
              <w:rPr>
                <w:b/>
              </w:rPr>
              <w:t>.</w:t>
            </w:r>
          </w:p>
          <w:p>
            <w:pPr>
              <w:pStyle w:val="NormalWeb"/>
              <w:spacing w:before="280" w:after="280"/>
              <w:jc w:val="both"/>
              <w:rPr/>
            </w:pPr>
            <w:r>
              <w:rPr/>
              <w:t xml:space="preserve">Јавна предузећа и </w:t>
            </w:r>
            <w:r>
              <w:rPr>
                <w:lang w:val="sr-RS"/>
              </w:rPr>
              <w:t>други облици организовања</w:t>
            </w:r>
            <w:r>
              <w:rPr/>
              <w:t>, чији је оснивач општина</w:t>
            </w:r>
            <w:r>
              <w:rPr>
                <w:lang w:val="sr-RS"/>
              </w:rPr>
              <w:t xml:space="preserve"> Ариље</w:t>
            </w:r>
            <w:r>
              <w:rPr/>
              <w:t xml:space="preserve"> дужни су да најкасније до 30. новембра </w:t>
            </w:r>
            <w:r>
              <w:rPr>
                <w:lang w:val="sr-RS"/>
              </w:rPr>
              <w:t xml:space="preserve">текуће године,  </w:t>
            </w:r>
            <w:r>
              <w:rPr/>
              <w:t xml:space="preserve">уплате у буџет </w:t>
            </w:r>
            <w:r>
              <w:rPr>
                <w:lang w:val="sr-RS"/>
              </w:rPr>
              <w:t>општине Ариље</w:t>
            </w:r>
            <w:r>
              <w:rPr/>
              <w:t xml:space="preserve"> део од 50% добити по завршном рачуну за 2025. годину.</w:t>
            </w:r>
          </w:p>
          <w:p>
            <w:pPr>
              <w:pStyle w:val="NormalWeb"/>
              <w:spacing w:before="280" w:after="280"/>
              <w:jc w:val="both"/>
              <w:rPr>
                <w:lang w:val="sr-RS"/>
              </w:rPr>
            </w:pPr>
            <w:r>
              <w:rPr/>
              <w:t xml:space="preserve">Изузетно уз сагласност </w:t>
            </w:r>
            <w:r>
              <w:rPr>
                <w:lang w:val="sr-RS"/>
              </w:rPr>
              <w:t>О</w:t>
            </w:r>
            <w:r>
              <w:rPr/>
              <w:t xml:space="preserve">пштинског већа, обавеза по основу уплате добити може бити умањена </w:t>
            </w:r>
            <w:r>
              <w:rPr>
                <w:lang w:val="sr-RS"/>
              </w:rPr>
              <w:t>Јавном предузећу</w:t>
            </w:r>
            <w:r>
              <w:rPr/>
              <w:t xml:space="preserve"> кој</w:t>
            </w:r>
            <w:r>
              <w:rPr>
                <w:lang w:val="sr-RS"/>
              </w:rPr>
              <w:t>е</w:t>
            </w:r>
            <w:r>
              <w:rPr/>
              <w:t xml:space="preserve"> донесе одлуку да из добити покрије губитак из ранијег периода, односно повећа капитал, а расположива ликвидна средства употреби за финансирање инвестиција.</w:t>
            </w:r>
          </w:p>
          <w:p>
            <w:pPr>
              <w:pStyle w:val="NormalWeb"/>
              <w:spacing w:before="280" w:after="280"/>
              <w:jc w:val="center"/>
              <w:rPr>
                <w:b/>
                <w:color w:val="000000"/>
              </w:rPr>
            </w:pPr>
            <w:r>
              <w:rPr>
                <w:b/>
                <w:color w:val="000000"/>
              </w:rPr>
              <w:t>Члан 3</w:t>
            </w:r>
            <w:r>
              <w:rPr>
                <w:b/>
                <w:color w:val="000000"/>
                <w:lang w:val="sr-RS"/>
              </w:rPr>
              <w:t>4</w:t>
            </w:r>
            <w:r>
              <w:rPr>
                <w:b/>
                <w:color w:val="000000"/>
              </w:rPr>
              <w:t>.</w:t>
            </w:r>
          </w:p>
          <w:p>
            <w:pPr>
              <w:pStyle w:val="NormalWeb"/>
              <w:spacing w:before="280" w:after="280"/>
              <w:jc w:val="both"/>
              <w:rPr>
                <w:color w:val="000000"/>
              </w:rPr>
            </w:pPr>
            <w:r>
              <w:rPr>
                <w:color w:val="000000"/>
              </w:rPr>
              <w:t>У буџетској 2026. години неће се вршити обрачун и исплата поклона у новцу, божићних, годишњих и других врста накнада и бонуса и примања запослених ради побољшања материјалног положаја и услова рада, као и других примања предвиђених посебним и појединачним колективним уговорима, за директне и индиректне кориснике средстава буџета, осим јубиларних награда за запослене</w:t>
            </w:r>
            <w:r>
              <w:rPr>
                <w:color w:val="000000"/>
                <w:lang w:val="sr-RS"/>
              </w:rPr>
              <w:t xml:space="preserve"> </w:t>
            </w:r>
            <w:r>
              <w:rPr>
                <w:color w:val="000000"/>
              </w:rPr>
              <w:t xml:space="preserve"> и новчаних честитки за децу запослених.</w:t>
            </w:r>
          </w:p>
          <w:p>
            <w:pPr>
              <w:pStyle w:val="NormalWeb"/>
              <w:spacing w:before="280" w:after="280"/>
              <w:jc w:val="both"/>
              <w:rPr>
                <w:color w:val="000000"/>
                <w:lang w:val="sr-RS"/>
              </w:rPr>
            </w:pPr>
            <w:r>
              <w:rPr>
                <w:color w:val="000000"/>
              </w:rPr>
              <w:t>У 2026. години не могу се исплаћивати запосленима код директних и индиректних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w:t>
            </w:r>
          </w:p>
          <w:p>
            <w:pPr>
              <w:pStyle w:val="NormalWeb"/>
              <w:spacing w:before="280" w:after="280"/>
              <w:jc w:val="center"/>
              <w:rPr>
                <w:b/>
                <w:color w:val="000000"/>
              </w:rPr>
            </w:pPr>
            <w:r>
              <w:rPr>
                <w:b/>
                <w:color w:val="000000"/>
              </w:rPr>
              <w:t>Члан 3</w:t>
            </w:r>
            <w:r>
              <w:rPr>
                <w:b/>
                <w:color w:val="000000"/>
                <w:lang w:val="sr-RS"/>
              </w:rPr>
              <w:t>5</w:t>
            </w:r>
            <w:r>
              <w:rPr>
                <w:b/>
                <w:color w:val="000000"/>
              </w:rPr>
              <w:t>.</w:t>
            </w:r>
          </w:p>
          <w:p>
            <w:pPr>
              <w:pStyle w:val="NormalWeb"/>
              <w:spacing w:before="280" w:after="280"/>
              <w:jc w:val="both"/>
              <w:rPr>
                <w:color w:val="000000"/>
              </w:rPr>
            </w:pPr>
            <w:r>
              <w:rPr>
                <w:color w:val="000000"/>
              </w:rPr>
              <w:t>Корисник буџетских средстава, који одређени расход и издатак извршава из других извора прихода и примања, који нису општи приход буџета (извор 01 – Општи приходи и примања буџета), обавезе може преузимати само до нивоа остварења тих прихода или примања, уколико је ниво остварених прихода и примања мањи од одобрених апропријација.</w:t>
            </w:r>
          </w:p>
          <w:p>
            <w:pPr>
              <w:pStyle w:val="NormalWeb"/>
              <w:spacing w:before="280" w:after="280"/>
              <w:jc w:val="both"/>
              <w:rPr>
                <w:color w:val="000000"/>
                <w:lang w:val="sr-RS"/>
              </w:rPr>
            </w:pPr>
            <w:r>
              <w:rPr>
                <w:color w:val="000000"/>
              </w:rPr>
              <w:t>Корисник буџетских средстава код кога у току године дође до умањења одобрених апропријација из разлога извршења принудне наплате, за износ умањења предузеће одговарајуће мере у циљу прилагођавања преузете обавезе, тако што ће предложити умањење обавезе, односно продужење уговорног рока за плаћање или отказати уговор.</w:t>
            </w:r>
          </w:p>
          <w:p>
            <w:pPr>
              <w:pStyle w:val="NormalWeb"/>
              <w:spacing w:before="280" w:after="280"/>
              <w:jc w:val="center"/>
              <w:rPr>
                <w:b/>
                <w:color w:val="000000"/>
              </w:rPr>
            </w:pPr>
            <w:r>
              <w:rPr>
                <w:b/>
                <w:color w:val="000000"/>
              </w:rPr>
              <w:t>Члан 3</w:t>
            </w:r>
            <w:r>
              <w:rPr>
                <w:b/>
                <w:color w:val="000000"/>
                <w:lang w:val="sr-RS"/>
              </w:rPr>
              <w:t>6</w:t>
            </w:r>
            <w:r>
              <w:rPr>
                <w:b/>
                <w:color w:val="000000"/>
              </w:rPr>
              <w:t>.</w:t>
            </w:r>
          </w:p>
          <w:p>
            <w:pPr>
              <w:pStyle w:val="NormalWeb"/>
              <w:spacing w:before="280" w:after="280"/>
              <w:jc w:val="both"/>
              <w:rPr>
                <w:color w:val="000000"/>
              </w:rPr>
            </w:pPr>
            <w:r>
              <w:rPr>
                <w:color w:val="000000"/>
              </w:rPr>
              <w:t>Приоритет у извршавању расхода за робе и услуге корисника буџетских средстава имају расходи за сталне трошкове, трошкове текућих поправки и одржавања и материјал.</w:t>
            </w:r>
          </w:p>
          <w:p>
            <w:pPr>
              <w:pStyle w:val="NormalWeb"/>
              <w:spacing w:before="280" w:after="280"/>
              <w:jc w:val="both"/>
              <w:rPr>
                <w:color w:val="000000"/>
                <w:lang w:val="sr-RS"/>
              </w:rPr>
            </w:pPr>
            <w:r>
              <w:rPr>
                <w:color w:val="000000"/>
              </w:rPr>
              <w:t>Корисници буџетских средстава дужни су да обавезе настале по основу сталних трошкова, трошкова текућих поправки и одржавања, материјала, као и по основу капиталних издатака измире у року утврђеном законом који регулише рокове измирења новчаних обавеза у комерцијалним трансакцијама.</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lang w:val="sr-RS"/>
              </w:rPr>
            </w:pPr>
            <w:r>
              <w:rPr>
                <w:b/>
                <w:color w:val="000000"/>
                <w:lang w:val="sr-RS"/>
              </w:rPr>
              <w:t>Члан 37.</w:t>
            </w:r>
          </w:p>
          <w:p>
            <w:pPr>
              <w:pStyle w:val="Normal"/>
              <w:jc w:val="both"/>
              <w:rPr>
                <w:sz w:val="24"/>
                <w:szCs w:val="24"/>
                <w:lang w:val="sr-RS"/>
              </w:rPr>
            </w:pPr>
            <w:r>
              <w:rPr>
                <w:sz w:val="24"/>
                <w:szCs w:val="24"/>
                <w:lang w:val="sr-RS"/>
              </w:rPr>
              <w:t>У оквиру спровођења реформе јавних финансија у поступку припреме и доношења Закона о буџетском систему за 2026. годину наставља се процес унапређења програмског модела буџета кроз примену родно одговорног буџетирања у буџетском процесу, односно планирање, спровођење и извештавање о учинку на унапређењу родне равноправности.</w:t>
            </w:r>
            <w:r>
              <w:rPr>
                <w:sz w:val="24"/>
                <w:szCs w:val="24"/>
              </w:rPr>
              <w:t>План увођења родно одговорног буџетирања спроводи се постепеним укључивањем буџетских корисника</w:t>
            </w:r>
            <w:r>
              <w:rPr>
                <w:sz w:val="24"/>
                <w:szCs w:val="24"/>
                <w:lang w:val="sr-RS"/>
              </w:rPr>
              <w:t>. Имајући у виду наведену законску одредбу неопходно је да надлежни орган локалне власти на годишњем нивоу донесе план поступног увођења родно одговорног буџетирања, којим ће одредити једног или више корисника буџетских средстава и један или више програма опредељеног буџетског корисника за који/које ће се дефинисати (на нивоу програма и/или програмске активности) најмање један родноодговоран циљ и одговарајући показатељи/индикатори који адекватно мере допринос циља унапређењу равноправости између жена и мушкараца.</w:t>
            </w:r>
          </w:p>
          <w:p>
            <w:pPr>
              <w:pStyle w:val="Normal"/>
              <w:jc w:val="both"/>
              <w:rPr>
                <w:sz w:val="24"/>
                <w:szCs w:val="24"/>
                <w:lang w:val="sr-RS"/>
              </w:rPr>
            </w:pPr>
            <w:r>
              <w:rPr>
                <w:sz w:val="24"/>
                <w:szCs w:val="24"/>
                <w:lang w:val="sr-RS"/>
              </w:rPr>
            </w:r>
          </w:p>
          <w:p>
            <w:pPr>
              <w:pStyle w:val="NormalWeb"/>
              <w:spacing w:before="280" w:after="280"/>
              <w:jc w:val="center"/>
              <w:rPr>
                <w:b/>
                <w:color w:val="000000"/>
              </w:rPr>
            </w:pPr>
            <w:r>
              <w:rPr>
                <w:b/>
                <w:color w:val="000000"/>
              </w:rPr>
              <w:t>Члан 3</w:t>
            </w:r>
            <w:r>
              <w:rPr>
                <w:b/>
                <w:color w:val="000000"/>
                <w:lang w:val="sr-RS"/>
              </w:rPr>
              <w:t>9</w:t>
            </w:r>
            <w:r>
              <w:rPr>
                <w:b/>
                <w:color w:val="000000"/>
              </w:rPr>
              <w:t>.</w:t>
            </w:r>
          </w:p>
          <w:p>
            <w:pPr>
              <w:pStyle w:val="NormalWeb"/>
              <w:spacing w:before="280" w:after="280"/>
              <w:jc w:val="both"/>
              <w:rPr>
                <w:color w:val="000000"/>
                <w:lang w:val="sr-RS"/>
              </w:rPr>
            </w:pPr>
            <w:r>
              <w:rPr>
                <w:color w:val="000000"/>
              </w:rPr>
              <w:t xml:space="preserve">Ову одлуку објавити у </w:t>
            </w:r>
            <w:r>
              <w:rPr>
                <w:color w:val="000000"/>
                <w:lang w:val="sr-RS"/>
              </w:rPr>
              <w:t>С</w:t>
            </w:r>
            <w:r>
              <w:rPr>
                <w:color w:val="000000"/>
              </w:rPr>
              <w:t>лужбеном глас</w:t>
            </w:r>
            <w:r>
              <w:rPr>
                <w:color w:val="000000"/>
                <w:lang w:val="sr-RS"/>
              </w:rPr>
              <w:t>нику</w:t>
            </w:r>
            <w:r>
              <w:rPr>
                <w:color w:val="000000"/>
              </w:rPr>
              <w:t xml:space="preserve"> општине </w:t>
            </w:r>
            <w:r>
              <w:rPr>
                <w:color w:val="000000"/>
                <w:lang w:val="sr-RS"/>
              </w:rPr>
              <w:t>Ариље</w:t>
            </w:r>
            <w:r>
              <w:rPr>
                <w:color w:val="000000"/>
              </w:rPr>
              <w:t xml:space="preserve">, интернет страници општине </w:t>
            </w:r>
            <w:r>
              <w:rPr>
                <w:color w:val="000000"/>
                <w:lang w:val="sr-RS"/>
              </w:rPr>
              <w:t xml:space="preserve">Ариље </w:t>
            </w:r>
            <w:r>
              <w:rPr>
                <w:color w:val="000000"/>
              </w:rPr>
              <w:t xml:space="preserve">и доставити </w:t>
            </w:r>
            <w:r>
              <w:rPr>
                <w:color w:val="000000"/>
                <w:lang w:val="sr-RS"/>
              </w:rPr>
              <w:t>М</w:t>
            </w:r>
            <w:r>
              <w:rPr>
                <w:color w:val="000000"/>
              </w:rPr>
              <w:t>инистарству надлежном за послове финансија.</w:t>
            </w:r>
          </w:p>
          <w:p>
            <w:pPr>
              <w:pStyle w:val="NormalWeb"/>
              <w:spacing w:before="280" w:after="280"/>
              <w:jc w:val="center"/>
              <w:rPr>
                <w:b/>
                <w:color w:val="000000"/>
              </w:rPr>
            </w:pPr>
            <w:r>
              <w:rPr>
                <w:b/>
                <w:color w:val="000000"/>
              </w:rPr>
              <w:t xml:space="preserve">Члан </w:t>
            </w:r>
            <w:r>
              <w:rPr>
                <w:b/>
                <w:color w:val="000000"/>
                <w:lang w:val="sr-RS"/>
              </w:rPr>
              <w:t>40</w:t>
            </w:r>
            <w:r>
              <w:rPr>
                <w:b/>
                <w:color w:val="000000"/>
              </w:rPr>
              <w:t>.</w:t>
            </w:r>
          </w:p>
          <w:p>
            <w:pPr>
              <w:pStyle w:val="NormalWeb"/>
              <w:spacing w:before="280" w:after="280"/>
              <w:jc w:val="both"/>
              <w:rPr>
                <w:color w:val="000000"/>
                <w:lang w:val="sr-RS"/>
              </w:rPr>
            </w:pPr>
            <w:r>
              <w:rPr>
                <w:color w:val="000000"/>
              </w:rPr>
              <w:t xml:space="preserve">Ова одлука ступа на снагу осмог дана од дана објављивања у </w:t>
            </w:r>
            <w:r>
              <w:rPr>
                <w:color w:val="000000"/>
                <w:lang w:val="sr-RS"/>
              </w:rPr>
              <w:t>С</w:t>
            </w:r>
            <w:r>
              <w:rPr>
                <w:color w:val="000000"/>
              </w:rPr>
              <w:t>лужбеном гла</w:t>
            </w:r>
            <w:r>
              <w:rPr>
                <w:color w:val="000000"/>
                <w:lang w:val="sr-RS"/>
              </w:rPr>
              <w:t>снику</w:t>
            </w:r>
            <w:r>
              <w:rPr>
                <w:color w:val="000000"/>
              </w:rPr>
              <w:t xml:space="preserve"> општине </w:t>
            </w:r>
            <w:r>
              <w:rPr>
                <w:color w:val="000000"/>
                <w:lang w:val="sr-RS"/>
              </w:rPr>
              <w:t>Ариље</w:t>
            </w:r>
            <w:r>
              <w:rPr>
                <w:color w:val="000000"/>
              </w:rPr>
              <w:t>, а примењиваће се од 1. јануара 2026. године.</w:t>
            </w:r>
          </w:p>
          <w:p>
            <w:pPr>
              <w:pStyle w:val="NormalWeb"/>
              <w:spacing w:before="280" w:after="280"/>
              <w:jc w:val="both"/>
              <w:rPr>
                <w:color w:val="000000"/>
                <w:lang w:val="sr-RS"/>
              </w:rPr>
            </w:pPr>
            <w:r>
              <w:rPr>
                <w:color w:val="000000"/>
                <w:lang w:val="sr-RS"/>
              </w:rPr>
            </w:r>
          </w:p>
          <w:p>
            <w:pPr>
              <w:pStyle w:val="NormalWeb"/>
              <w:spacing w:before="280" w:after="280"/>
              <w:jc w:val="center"/>
              <w:rPr>
                <w:b/>
                <w:color w:val="000000"/>
                <w:lang w:val="sr-RS"/>
              </w:rPr>
            </w:pPr>
            <w:r>
              <w:rPr>
                <w:b/>
                <w:color w:val="000000"/>
                <w:lang w:val="sr-RS"/>
              </w:rPr>
              <w:t>РЕПУБЛИКА СРБИЈА</w:t>
            </w:r>
          </w:p>
          <w:p>
            <w:pPr>
              <w:pStyle w:val="NormalWeb"/>
              <w:spacing w:before="280" w:after="280"/>
              <w:jc w:val="center"/>
              <w:rPr>
                <w:b/>
                <w:color w:val="000000"/>
                <w:lang w:val="sr-RS"/>
              </w:rPr>
            </w:pPr>
            <w:r>
              <w:rPr>
                <w:b/>
                <w:color w:val="000000"/>
                <w:lang w:val="sr-RS"/>
              </w:rPr>
              <w:t>ОПШТИНА АРИЉЕ</w:t>
            </w:r>
          </w:p>
          <w:p>
            <w:pPr>
              <w:pStyle w:val="NormalWeb"/>
              <w:spacing w:before="280" w:after="280"/>
              <w:jc w:val="center"/>
              <w:rPr>
                <w:b/>
                <w:color w:val="000000"/>
                <w:lang w:val="sr-RS"/>
              </w:rPr>
            </w:pPr>
            <w:r>
              <w:rPr>
                <w:b/>
                <w:color w:val="000000"/>
              </w:rPr>
              <w:t xml:space="preserve">СКУПШТИНА ОПШТИНЕ </w:t>
            </w:r>
            <w:r>
              <w:rPr>
                <w:b/>
                <w:color w:val="000000"/>
                <w:lang w:val="sr-RS"/>
              </w:rPr>
              <w:t>АРИЉЕ</w:t>
            </w:r>
          </w:p>
          <w:p>
            <w:pPr>
              <w:pStyle w:val="NormalWeb"/>
              <w:spacing w:before="280" w:after="280"/>
              <w:jc w:val="center"/>
              <w:rPr>
                <w:color w:val="000000"/>
                <w:lang w:val="sr-RS"/>
              </w:rPr>
            </w:pPr>
            <w:r>
              <w:rPr>
                <w:color w:val="000000"/>
                <w:lang w:val="sr-Latn-RS"/>
              </w:rPr>
              <w:t xml:space="preserve">III </w:t>
            </w:r>
            <w:r>
              <w:rPr>
                <w:color w:val="000000"/>
                <w:lang w:val="sr-RS"/>
              </w:rPr>
              <w:t>број 400-333/2025</w:t>
            </w:r>
          </w:p>
          <w:p>
            <w:pPr>
              <w:pStyle w:val="NormalWeb"/>
              <w:spacing w:before="280" w:after="280"/>
              <w:jc w:val="center"/>
              <w:rPr>
                <w:b/>
                <w:color w:val="000000"/>
                <w:lang w:val="sr-RS"/>
              </w:rPr>
            </w:pPr>
            <w:r>
              <w:rPr>
                <w:color w:val="000000"/>
                <w:lang w:val="sr-RS"/>
              </w:rPr>
              <w:t>___.12.2025. године</w:t>
            </w:r>
          </w:p>
          <w:p>
            <w:pPr>
              <w:pStyle w:val="NormalWeb"/>
              <w:spacing w:before="280" w:after="0"/>
              <w:jc w:val="center"/>
              <w:rPr>
                <w:lang w:val="sr-RS"/>
              </w:rPr>
            </w:pPr>
            <w:r>
              <w:rPr/>
            </w:r>
          </w:p>
        </w:tc>
      </w:tr>
      <w:tr>
        <w:trPr/>
        <w:tc>
          <w:tcPr>
            <w:tcW w:w="16117" w:type="dxa"/>
            <w:tcBorders/>
          </w:tcPr>
          <w:p>
            <w:pPr>
              <w:pStyle w:val="NormalWeb"/>
              <w:spacing w:before="0" w:after="0"/>
              <w:jc w:val="center"/>
              <w:rPr>
                <w:rStyle w:val="Strong"/>
                <w:color w:val="000000"/>
                <w:lang w:val="sr-RS"/>
              </w:rPr>
            </w:pPr>
            <w:r>
              <w:rPr>
                <w:rStyle w:val="Strong"/>
                <w:color w:val="000000"/>
                <w:lang w:val="sr-RS"/>
              </w:rPr>
              <w:t xml:space="preserve">                                                                                                                     </w:t>
            </w:r>
            <w:r>
              <w:rPr>
                <w:rStyle w:val="Strong"/>
                <w:color w:val="000000"/>
                <w:lang w:val="sr-RS"/>
              </w:rPr>
              <w:t>ПРЕДСЕДНИК СКУПШТИНЕ ОПШТИНЕ</w:t>
            </w:r>
          </w:p>
        </w:tc>
      </w:tr>
      <w:tr>
        <w:trPr/>
        <w:tc>
          <w:tcPr>
            <w:tcW w:w="16117" w:type="dxa"/>
            <w:tcBorders/>
          </w:tcPr>
          <w:p>
            <w:pPr>
              <w:pStyle w:val="NormalWeb"/>
              <w:spacing w:before="0" w:after="0"/>
              <w:jc w:val="center"/>
              <w:rPr>
                <w:rStyle w:val="Strong"/>
                <w:color w:val="000000"/>
                <w:lang w:val="sr-RS"/>
              </w:rPr>
            </w:pPr>
            <w:r>
              <w:rPr>
                <w:color w:val="000000"/>
                <w:lang w:val="sr-RS"/>
              </w:rPr>
            </w:r>
          </w:p>
        </w:tc>
      </w:tr>
      <w:tr>
        <w:trPr/>
        <w:tc>
          <w:tcPr>
            <w:tcW w:w="16117" w:type="dxa"/>
            <w:tcBorders/>
          </w:tcPr>
          <w:p>
            <w:pPr>
              <w:pStyle w:val="NormalWeb"/>
              <w:spacing w:before="0" w:after="0"/>
              <w:rPr>
                <w:rStyle w:val="Strong"/>
                <w:color w:val="000000"/>
                <w:lang w:val="sr-RS"/>
              </w:rPr>
            </w:pPr>
            <w:r>
              <w:rPr>
                <w:color w:val="000000"/>
                <w:lang w:val="sr-RS"/>
              </w:rPr>
            </w:r>
          </w:p>
        </w:tc>
      </w:tr>
      <w:tr>
        <w:trPr/>
        <w:tc>
          <w:tcPr>
            <w:tcW w:w="16117" w:type="dxa"/>
            <w:tcBorders/>
          </w:tcPr>
          <w:p>
            <w:pPr>
              <w:pStyle w:val="NormalWeb"/>
              <w:spacing w:before="0" w:after="0"/>
              <w:jc w:val="center"/>
              <w:rPr>
                <w:rStyle w:val="Strong"/>
                <w:b w:val="false"/>
                <w:color w:val="000000"/>
                <w:lang w:val="sr-RS"/>
              </w:rPr>
            </w:pPr>
            <w:r>
              <w:rPr>
                <w:rStyle w:val="Strong"/>
                <w:color w:val="000000"/>
                <w:lang w:val="sr-RS"/>
              </w:rPr>
              <w:t xml:space="preserve">                                                                                                                       </w:t>
            </w:r>
            <w:r>
              <w:rPr>
                <w:rStyle w:val="Strong"/>
                <w:b w:val="false"/>
                <w:color w:val="000000"/>
                <w:lang w:val="sr-RS"/>
              </w:rPr>
              <w:t>Миљана Аћимовић Стефановић</w:t>
            </w:r>
          </w:p>
        </w:tc>
      </w:tr>
      <w:tr>
        <w:trPr/>
        <w:tc>
          <w:tcPr>
            <w:tcW w:w="16117" w:type="dxa"/>
            <w:tcBorders/>
          </w:tcPr>
          <w:p>
            <w:pPr>
              <w:pStyle w:val="NormalWeb"/>
              <w:spacing w:before="0" w:after="0"/>
              <w:jc w:val="center"/>
              <w:rPr>
                <w:rStyle w:val="Strong"/>
                <w:color w:val="000000"/>
                <w:sz w:val="20"/>
                <w:szCs w:val="20"/>
                <w:lang w:val="sr-RS"/>
              </w:rPr>
            </w:pPr>
            <w:r>
              <w:rPr>
                <w:color w:val="000000"/>
                <w:sz w:val="20"/>
                <w:szCs w:val="20"/>
                <w:lang w:val="sr-RS"/>
              </w:rPr>
            </w:r>
          </w:p>
        </w:tc>
      </w:tr>
    </w:tbl>
    <w:p>
      <w:pPr>
        <w:pStyle w:val="Normal"/>
        <w:rPr>
          <w:lang w:val="sr-RS"/>
        </w:rPr>
      </w:pPr>
      <w:r>
        <w:rPr>
          <w:lang w:val="sr-RS"/>
        </w:rPr>
      </w:r>
      <w:bookmarkStart w:id="335" w:name="__bookmark_89"/>
      <w:bookmarkStart w:id="336" w:name="__bookmark_89"/>
      <w:bookmarkEnd w:id="336"/>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lang w:val="sr-RS"/>
        </w:rPr>
      </w:pPr>
      <w:r>
        <w:rPr>
          <w:lang w:val="sr-RS"/>
        </w:rPr>
      </w:r>
    </w:p>
    <w:p>
      <w:pPr>
        <w:pStyle w:val="Normal"/>
        <w:rPr/>
      </w:pPr>
      <w:r>
        <w:rPr/>
      </w:r>
    </w:p>
    <w:p>
      <w:pPr>
        <w:pStyle w:val="Normal"/>
        <w:rPr/>
      </w:pPr>
      <w:r>
        <w:rPr/>
      </w:r>
    </w:p>
    <w:p>
      <w:pPr>
        <w:pStyle w:val="Normal"/>
        <w:tabs>
          <w:tab w:val="clear" w:pos="720"/>
          <w:tab w:val="left" w:pos="1820" w:leader="none"/>
        </w:tabs>
        <w:spacing w:lineRule="atLeast" w:line="0"/>
        <w:jc w:val="center"/>
        <w:rPr>
          <w:rFonts w:eastAsia="Arial Narrow"/>
          <w:b/>
          <w:sz w:val="22"/>
          <w:szCs w:val="22"/>
        </w:rPr>
      </w:pPr>
      <w:r>
        <w:rPr>
          <w:rFonts w:eastAsia="Arial Narrow"/>
          <w:b/>
          <w:sz w:val="22"/>
          <w:szCs w:val="22"/>
        </w:rPr>
      </w:r>
    </w:p>
    <w:p>
      <w:pPr>
        <w:pStyle w:val="Normal"/>
        <w:tabs>
          <w:tab w:val="clear" w:pos="720"/>
          <w:tab w:val="left" w:pos="1820" w:leader="none"/>
        </w:tabs>
        <w:spacing w:lineRule="atLeast" w:line="0"/>
        <w:jc w:val="center"/>
        <w:rPr>
          <w:rFonts w:eastAsia="Arial Narrow"/>
          <w:b/>
          <w:sz w:val="22"/>
          <w:szCs w:val="22"/>
        </w:rPr>
      </w:pPr>
      <w:r>
        <w:rPr>
          <w:rFonts w:eastAsia="Arial Narrow"/>
          <w:b/>
          <w:sz w:val="22"/>
          <w:szCs w:val="22"/>
        </w:rPr>
        <w:t>ОКОЛНОСТИ КОЈЕ СУ УТИЦАЛЕ НА ПРИПРЕМУ ОДЛУКЕ О БУЏЕТУ</w:t>
      </w:r>
    </w:p>
    <w:p>
      <w:pPr>
        <w:pStyle w:val="Normal"/>
        <w:spacing w:lineRule="exact" w:line="329"/>
        <w:rPr>
          <w:sz w:val="22"/>
          <w:szCs w:val="22"/>
        </w:rPr>
      </w:pPr>
      <w:r>
        <w:rPr>
          <w:sz w:val="22"/>
          <w:szCs w:val="22"/>
        </w:rPr>
      </w:r>
    </w:p>
    <w:p>
      <w:pPr>
        <w:pStyle w:val="Normal"/>
        <w:spacing w:lineRule="auto" w:line="273"/>
        <w:ind w:firstLine="721"/>
        <w:jc w:val="both"/>
        <w:rPr>
          <w:rFonts w:eastAsia="Arial Narrow"/>
          <w:sz w:val="24"/>
          <w:szCs w:val="24"/>
        </w:rPr>
      </w:pPr>
      <w:r>
        <w:rPr>
          <w:rFonts w:eastAsia="Arial Narrow"/>
          <w:sz w:val="24"/>
          <w:szCs w:val="24"/>
        </w:rPr>
        <w:t>Чланом 31.Закона о буџетском систему, по буџетском календару, предвиђено је да министар финансија доставља Упутство за припрему Одлуке о буџету локалне власти, као и фискалну стратегију до 5.јула текуће за наредну годину.</w:t>
      </w:r>
    </w:p>
    <w:p>
      <w:pPr>
        <w:pStyle w:val="Normal"/>
        <w:spacing w:lineRule="exact" w:line="6"/>
        <w:rPr>
          <w:sz w:val="24"/>
          <w:szCs w:val="24"/>
        </w:rPr>
      </w:pPr>
      <w:r>
        <w:rPr>
          <w:sz w:val="24"/>
          <w:szCs w:val="24"/>
        </w:rPr>
      </w:r>
    </w:p>
    <w:p>
      <w:pPr>
        <w:pStyle w:val="Normal"/>
        <w:spacing w:lineRule="auto" w:line="273"/>
        <w:ind w:firstLine="721"/>
        <w:jc w:val="both"/>
        <w:rPr>
          <w:rFonts w:eastAsia="Arial Narrow"/>
          <w:sz w:val="24"/>
          <w:szCs w:val="24"/>
        </w:rPr>
      </w:pPr>
      <w:r>
        <w:rPr>
          <w:rFonts w:eastAsia="Arial Narrow"/>
          <w:sz w:val="24"/>
          <w:szCs w:val="24"/>
        </w:rPr>
        <w:t>Упутство за припрему одлуке о буџету локалне власти за 202</w:t>
      </w:r>
      <w:r>
        <w:rPr>
          <w:rFonts w:eastAsia="Arial Narrow"/>
          <w:sz w:val="24"/>
          <w:szCs w:val="24"/>
          <w:lang w:val="sr-RS"/>
        </w:rPr>
        <w:t>6</w:t>
      </w:r>
      <w:r>
        <w:rPr>
          <w:rFonts w:eastAsia="Arial Narrow"/>
          <w:sz w:val="24"/>
          <w:szCs w:val="24"/>
        </w:rPr>
        <w:t xml:space="preserve">.годину </w:t>
      </w:r>
      <w:r>
        <w:rPr>
          <w:rFonts w:eastAsia="Arial Narrow"/>
          <w:sz w:val="24"/>
          <w:szCs w:val="24"/>
          <w:lang w:val="sr-RS"/>
        </w:rPr>
        <w:t>са</w:t>
      </w:r>
      <w:r>
        <w:rPr>
          <w:rFonts w:eastAsia="Arial Narrow"/>
          <w:sz w:val="24"/>
          <w:szCs w:val="24"/>
        </w:rPr>
        <w:t xml:space="preserve"> пројекциј</w:t>
      </w:r>
      <w:r>
        <w:rPr>
          <w:rFonts w:eastAsia="Arial Narrow"/>
          <w:sz w:val="24"/>
          <w:szCs w:val="24"/>
          <w:lang w:val="sr-RS"/>
        </w:rPr>
        <w:t>ом</w:t>
      </w:r>
      <w:r>
        <w:rPr>
          <w:rFonts w:eastAsia="Arial Narrow"/>
          <w:sz w:val="24"/>
          <w:szCs w:val="24"/>
        </w:rPr>
        <w:t xml:space="preserve"> за 202</w:t>
      </w:r>
      <w:r>
        <w:rPr>
          <w:rFonts w:eastAsia="Arial Narrow"/>
          <w:sz w:val="24"/>
          <w:szCs w:val="24"/>
          <w:lang w:val="sr-RS"/>
        </w:rPr>
        <w:t>7.</w:t>
      </w:r>
      <w:r>
        <w:rPr>
          <w:rFonts w:eastAsia="Arial Narrow"/>
          <w:sz w:val="24"/>
          <w:szCs w:val="24"/>
        </w:rPr>
        <w:t xml:space="preserve"> и 202</w:t>
      </w:r>
      <w:r>
        <w:rPr>
          <w:rFonts w:eastAsia="Arial Narrow"/>
          <w:sz w:val="24"/>
          <w:szCs w:val="24"/>
          <w:lang w:val="sr-RS"/>
        </w:rPr>
        <w:t>8</w:t>
      </w:r>
      <w:r>
        <w:rPr>
          <w:rFonts w:eastAsia="Arial Narrow"/>
          <w:sz w:val="24"/>
          <w:szCs w:val="24"/>
        </w:rPr>
        <w:t xml:space="preserve">.годину од стране Министарства финансија Републике Србије, објављено је </w:t>
      </w:r>
      <w:r>
        <w:rPr>
          <w:rFonts w:eastAsia="Arial Narrow"/>
          <w:sz w:val="24"/>
          <w:szCs w:val="24"/>
          <w:lang w:val="sr-RS"/>
        </w:rPr>
        <w:t>16</w:t>
      </w:r>
      <w:r>
        <w:rPr>
          <w:rFonts w:eastAsia="Arial Narrow"/>
          <w:sz w:val="24"/>
          <w:szCs w:val="24"/>
        </w:rPr>
        <w:t>. јула 202</w:t>
      </w:r>
      <w:r>
        <w:rPr>
          <w:rFonts w:eastAsia="Arial Narrow"/>
          <w:sz w:val="24"/>
          <w:szCs w:val="24"/>
          <w:lang w:val="sr-RS"/>
        </w:rPr>
        <w:t>5</w:t>
      </w:r>
      <w:r>
        <w:rPr>
          <w:rFonts w:eastAsia="Arial Narrow"/>
          <w:sz w:val="24"/>
          <w:szCs w:val="24"/>
        </w:rPr>
        <w:t>. године на сајту Министарства и  прослеђено свим градовима и општинама.</w:t>
      </w:r>
      <w:r>
        <w:rPr>
          <w:rFonts w:eastAsia="Arial Narrow"/>
          <w:sz w:val="24"/>
          <w:szCs w:val="24"/>
          <w:lang w:val="sr-RS"/>
        </w:rPr>
        <w:t xml:space="preserve"> Министарство је дан раније, 15.</w:t>
      </w:r>
      <w:r>
        <w:rPr>
          <w:rFonts w:eastAsia="Arial Narrow"/>
          <w:sz w:val="24"/>
          <w:szCs w:val="24"/>
        </w:rPr>
        <w:t>07</w:t>
      </w:r>
      <w:r>
        <w:rPr>
          <w:rFonts w:eastAsia="Arial Narrow"/>
          <w:sz w:val="24"/>
          <w:szCs w:val="24"/>
          <w:lang w:val="sr-RS"/>
        </w:rPr>
        <w:t xml:space="preserve"> 2025.године доставило градовима и општинама Упутство број </w:t>
      </w:r>
      <w:r>
        <w:rPr>
          <w:rFonts w:eastAsia="Arial Narrow"/>
          <w:sz w:val="24"/>
          <w:szCs w:val="24"/>
        </w:rPr>
        <w:t>003125075 2025 10520 003 051 427 015</w:t>
      </w:r>
      <w:r>
        <w:rPr>
          <w:rFonts w:eastAsia="Arial Narrow"/>
          <w:sz w:val="24"/>
          <w:szCs w:val="24"/>
          <w:lang w:val="sr-RS"/>
        </w:rPr>
        <w:t xml:space="preserve"> од 14.07.2025. године и ревидирано Упуство од 04.11.2025. године. </w:t>
      </w:r>
      <w:r>
        <w:rPr>
          <w:rFonts w:eastAsia="Arial Narrow"/>
          <w:sz w:val="24"/>
          <w:szCs w:val="24"/>
        </w:rPr>
        <w:t>Упутство садржи основне економске претпоставке и смернице за припрему Одлуке о буџету за 202</w:t>
      </w:r>
      <w:r>
        <w:rPr>
          <w:rFonts w:eastAsia="Arial Narrow"/>
          <w:sz w:val="24"/>
          <w:szCs w:val="24"/>
          <w:lang w:val="sr-RS"/>
        </w:rPr>
        <w:t>6</w:t>
      </w:r>
      <w:r>
        <w:rPr>
          <w:rFonts w:eastAsia="Arial Narrow"/>
          <w:sz w:val="24"/>
          <w:szCs w:val="24"/>
        </w:rPr>
        <w:t>.годину, методологију израде Одлуке о буџету, као и методологију израде предлога финансијског плана корисника средстава буџета.</w:t>
      </w:r>
    </w:p>
    <w:p>
      <w:pPr>
        <w:pStyle w:val="Normal"/>
        <w:spacing w:lineRule="exact" w:line="7"/>
        <w:rPr>
          <w:sz w:val="24"/>
          <w:szCs w:val="24"/>
        </w:rPr>
      </w:pPr>
      <w:r>
        <w:rPr>
          <w:sz w:val="24"/>
          <w:szCs w:val="24"/>
        </w:rPr>
      </w:r>
    </w:p>
    <w:p>
      <w:pPr>
        <w:pStyle w:val="Normal"/>
        <w:spacing w:lineRule="auto" w:line="273"/>
        <w:ind w:firstLine="721" w:right="20"/>
        <w:jc w:val="both"/>
        <w:rPr>
          <w:rFonts w:eastAsia="Arial Narrow"/>
          <w:sz w:val="24"/>
          <w:szCs w:val="24"/>
        </w:rPr>
      </w:pPr>
      <w:r>
        <w:rPr>
          <w:rFonts w:eastAsia="Arial Narrow"/>
          <w:sz w:val="24"/>
          <w:szCs w:val="24"/>
        </w:rPr>
        <w:t>Поштујући одредбе буџетског календара</w:t>
      </w:r>
      <w:r>
        <w:rPr>
          <w:rFonts w:eastAsia="Arial Narrow"/>
          <w:sz w:val="24"/>
          <w:szCs w:val="24"/>
          <w:lang w:val="sr-RS"/>
        </w:rPr>
        <w:t>,</w:t>
      </w:r>
      <w:r>
        <w:rPr>
          <w:rFonts w:eastAsia="Arial Narrow"/>
          <w:sz w:val="24"/>
          <w:szCs w:val="24"/>
        </w:rPr>
        <w:t xml:space="preserve"> Одељење за </w:t>
      </w:r>
      <w:r>
        <w:rPr>
          <w:rFonts w:eastAsia="Arial Narrow"/>
          <w:sz w:val="24"/>
          <w:szCs w:val="24"/>
          <w:lang w:val="sr-RS"/>
        </w:rPr>
        <w:t>привреду и финансије</w:t>
      </w:r>
      <w:r>
        <w:rPr>
          <w:rFonts w:eastAsia="Arial Narrow"/>
          <w:sz w:val="24"/>
          <w:szCs w:val="24"/>
        </w:rPr>
        <w:t xml:space="preserve"> је Упутство за припрему буџета општине </w:t>
      </w:r>
      <w:r>
        <w:rPr>
          <w:rFonts w:eastAsia="Arial Narrow"/>
          <w:sz w:val="24"/>
          <w:szCs w:val="24"/>
          <w:lang w:val="sr-RS"/>
        </w:rPr>
        <w:t>Ариље</w:t>
      </w:r>
      <w:r>
        <w:rPr>
          <w:rFonts w:eastAsia="Arial Narrow"/>
          <w:sz w:val="24"/>
          <w:szCs w:val="24"/>
        </w:rPr>
        <w:t xml:space="preserve"> за 202</w:t>
      </w:r>
      <w:r>
        <w:rPr>
          <w:rFonts w:eastAsia="Arial Narrow"/>
          <w:sz w:val="24"/>
          <w:szCs w:val="24"/>
          <w:lang w:val="sr-RS"/>
        </w:rPr>
        <w:t>6</w:t>
      </w:r>
      <w:r>
        <w:rPr>
          <w:rFonts w:eastAsia="Arial Narrow"/>
          <w:sz w:val="24"/>
          <w:szCs w:val="24"/>
        </w:rPr>
        <w:t>.годину</w:t>
      </w:r>
      <w:r>
        <w:rPr>
          <w:rFonts w:eastAsia="Arial Narrow"/>
          <w:sz w:val="24"/>
          <w:szCs w:val="24"/>
          <w:lang w:val="sr-RS"/>
        </w:rPr>
        <w:t xml:space="preserve"> са пројекцијама за 2027 и 2028. годину, </w:t>
      </w:r>
      <w:r>
        <w:rPr>
          <w:rFonts w:eastAsia="Arial Narrow"/>
          <w:sz w:val="24"/>
          <w:szCs w:val="24"/>
        </w:rPr>
        <w:t xml:space="preserve">број </w:t>
      </w:r>
      <w:r>
        <w:rPr>
          <w:rFonts w:eastAsia="Arial Narrow"/>
          <w:sz w:val="24"/>
          <w:szCs w:val="24"/>
          <w:lang w:val="sr-RS"/>
        </w:rPr>
        <w:t>400-246/2025</w:t>
      </w:r>
      <w:r>
        <w:rPr>
          <w:rFonts w:eastAsia="Arial Narrow"/>
          <w:sz w:val="24"/>
          <w:szCs w:val="24"/>
        </w:rPr>
        <w:t xml:space="preserve">  од</w:t>
      </w:r>
      <w:r>
        <w:rPr>
          <w:rFonts w:eastAsia="Arial Narrow"/>
          <w:sz w:val="24"/>
          <w:szCs w:val="24"/>
          <w:lang w:val="sr-RS"/>
        </w:rPr>
        <w:t xml:space="preserve"> 28.07.</w:t>
      </w:r>
      <w:r>
        <w:rPr>
          <w:rFonts w:eastAsia="Arial Narrow"/>
          <w:sz w:val="24"/>
          <w:szCs w:val="24"/>
        </w:rPr>
        <w:t>202</w:t>
      </w:r>
      <w:r>
        <w:rPr>
          <w:rFonts w:eastAsia="Arial Narrow"/>
          <w:sz w:val="24"/>
          <w:szCs w:val="24"/>
          <w:lang w:val="sr-RS"/>
        </w:rPr>
        <w:t>5</w:t>
      </w:r>
      <w:r>
        <w:rPr>
          <w:rFonts w:eastAsia="Arial Narrow"/>
          <w:sz w:val="24"/>
          <w:szCs w:val="24"/>
        </w:rPr>
        <w:t xml:space="preserve">. године, у законом прописаном року доставило свим корисницима буџета општине </w:t>
      </w:r>
      <w:r>
        <w:rPr>
          <w:rFonts w:eastAsia="Arial Narrow"/>
          <w:sz w:val="24"/>
          <w:szCs w:val="24"/>
          <w:lang w:val="sr-RS"/>
        </w:rPr>
        <w:t>Ариље</w:t>
      </w:r>
      <w:r>
        <w:rPr>
          <w:rFonts w:eastAsia="Arial Narrow"/>
          <w:sz w:val="24"/>
          <w:szCs w:val="24"/>
        </w:rPr>
        <w:t>.</w:t>
      </w:r>
    </w:p>
    <w:p>
      <w:pPr>
        <w:pStyle w:val="Normal"/>
        <w:jc w:val="both"/>
        <w:rPr>
          <w:rFonts w:eastAsia="TimesNewRomanPSMT"/>
          <w:sz w:val="24"/>
          <w:szCs w:val="24"/>
          <w:lang w:eastAsia="en-US"/>
        </w:rPr>
      </w:pPr>
      <w:r>
        <w:rPr>
          <w:rFonts w:eastAsia="TimesNewRomanPSMT"/>
          <w:sz w:val="24"/>
          <w:szCs w:val="24"/>
          <w:lang w:eastAsia="en-US"/>
        </w:rPr>
        <w:t>Уколико Одлука о буџету локалне власти буде супротна смерницама из упутства у делу који се односи планирање масе средстава за плате, броја запослених и субвенција у</w:t>
      </w:r>
      <w:r>
        <w:rPr>
          <w:rFonts w:eastAsia="TimesNewRomanPSMT"/>
          <w:sz w:val="24"/>
          <w:szCs w:val="24"/>
          <w:lang w:val="sr-RS" w:eastAsia="en-US"/>
        </w:rPr>
        <w:t xml:space="preserve"> </w:t>
      </w:r>
      <w:r>
        <w:rPr>
          <w:rFonts w:eastAsia="TimesNewRomanPSMT"/>
          <w:sz w:val="24"/>
          <w:szCs w:val="24"/>
          <w:lang w:eastAsia="en-US"/>
        </w:rPr>
        <w:t>Одлуци о буџету, министар надлежан за финансије може привремено обуставити пренос трансферних средстава из Републике Србије, до момента док се Одлука о буџету не усклади са</w:t>
      </w:r>
      <w:r>
        <w:rPr>
          <w:rFonts w:eastAsia="TimesNewRomanPSMT"/>
          <w:sz w:val="24"/>
          <w:szCs w:val="24"/>
          <w:lang w:val="sr-RS" w:eastAsia="en-US"/>
        </w:rPr>
        <w:t xml:space="preserve"> У</w:t>
      </w:r>
      <w:r>
        <w:rPr>
          <w:rFonts w:eastAsia="TimesNewRomanPSMT"/>
          <w:sz w:val="24"/>
          <w:szCs w:val="24"/>
          <w:lang w:eastAsia="en-US"/>
        </w:rPr>
        <w:t>путством.</w:t>
      </w:r>
    </w:p>
    <w:p>
      <w:pPr>
        <w:pStyle w:val="Normal"/>
        <w:jc w:val="both"/>
        <w:rPr>
          <w:rFonts w:eastAsia="TimesNewRomanPSMT"/>
          <w:sz w:val="24"/>
          <w:szCs w:val="24"/>
          <w:lang w:val="sr-RS" w:eastAsia="en-US"/>
        </w:rPr>
      </w:pPr>
      <w:r>
        <w:rPr>
          <w:rFonts w:eastAsia="TimesNewRomanPSMT"/>
          <w:sz w:val="24"/>
          <w:szCs w:val="24"/>
          <w:lang w:val="sr-RS" w:eastAsia="en-US"/>
        </w:rPr>
      </w:r>
    </w:p>
    <w:p>
      <w:pPr>
        <w:pStyle w:val="Normal"/>
        <w:jc w:val="both"/>
        <w:rPr>
          <w:rFonts w:eastAsia="TimesNewRomanPSMT"/>
          <w:sz w:val="28"/>
          <w:szCs w:val="28"/>
          <w:lang w:eastAsia="en-US"/>
        </w:rPr>
      </w:pPr>
      <w:r>
        <w:rPr>
          <w:rFonts w:eastAsia="TimesNewRomanPSMT"/>
          <w:sz w:val="28"/>
          <w:szCs w:val="28"/>
          <w:lang w:eastAsia="en-US"/>
        </w:rPr>
        <w:t>Члан 40. Закона о буџетском систему („Службени гласник РС“ бр. 54/2009, 73/2010, 101/210, 101/2011, 93/2012, 63/2013, 108/2013, 142/2014 ,68/2015, 103/2015, 99/2016, 113/2017, 95/2018, 31/2019, 72/2019, 149/2020, 118/2021, 138/2022 и 118/2021-др.закон</w:t>
      </w:r>
      <w:r>
        <w:rPr>
          <w:rFonts w:eastAsia="TimesNewRomanPSMT"/>
          <w:sz w:val="28"/>
          <w:szCs w:val="28"/>
          <w:lang w:val="sr-RS" w:eastAsia="en-US"/>
        </w:rPr>
        <w:t>, 92/2023 и 94/2024</w:t>
      </w:r>
      <w:r>
        <w:rPr>
          <w:rFonts w:eastAsia="TimesNewRomanPSMT"/>
          <w:sz w:val="28"/>
          <w:szCs w:val="28"/>
          <w:lang w:eastAsia="en-US"/>
        </w:rPr>
        <w:t>), локални орган управе надлежан за финансије доставља директним корисницима Упутство за припрему буџета локалне власти, као и садржај упутства.</w:t>
      </w:r>
    </w:p>
    <w:p>
      <w:pPr>
        <w:pStyle w:val="Normal"/>
        <w:jc w:val="both"/>
        <w:rPr>
          <w:rFonts w:eastAsia="TimesNewRomanPSMT"/>
          <w:sz w:val="28"/>
          <w:szCs w:val="28"/>
          <w:lang w:eastAsia="en-US"/>
        </w:rPr>
      </w:pPr>
      <w:r>
        <w:rPr>
          <w:rFonts w:eastAsia="TimesNewRomanPSMT"/>
          <w:sz w:val="28"/>
          <w:szCs w:val="28"/>
          <w:lang w:eastAsia="en-US"/>
        </w:rPr>
      </w:r>
    </w:p>
    <w:p>
      <w:pPr>
        <w:pStyle w:val="Normal"/>
        <w:rPr>
          <w:rFonts w:eastAsia="TimesNewRomanPSMT"/>
          <w:i/>
          <w:i/>
          <w:iCs/>
          <w:sz w:val="28"/>
          <w:szCs w:val="28"/>
          <w:lang w:eastAsia="en-US"/>
        </w:rPr>
      </w:pPr>
      <w:r>
        <w:rPr>
          <w:rFonts w:eastAsia="TimesNewRomanPSMT"/>
          <w:i/>
          <w:iCs/>
          <w:sz w:val="28"/>
          <w:szCs w:val="28"/>
          <w:lang w:eastAsia="en-US"/>
        </w:rPr>
        <w:t>Упутством за припрему Одлуке о буџету локалне власти за 202</w:t>
      </w:r>
      <w:r>
        <w:rPr>
          <w:rFonts w:eastAsia="TimesNewRomanPSMT"/>
          <w:i/>
          <w:iCs/>
          <w:sz w:val="28"/>
          <w:szCs w:val="28"/>
          <w:lang w:val="sr-RS" w:eastAsia="en-US"/>
        </w:rPr>
        <w:t>6</w:t>
      </w:r>
      <w:r>
        <w:rPr>
          <w:rFonts w:eastAsia="TimesNewRomanPSMT"/>
          <w:i/>
          <w:iCs/>
          <w:sz w:val="28"/>
          <w:szCs w:val="28"/>
          <w:lang w:eastAsia="en-US"/>
        </w:rPr>
        <w:t>.годину са пројекцијама за 202</w:t>
      </w:r>
      <w:r>
        <w:rPr>
          <w:rFonts w:eastAsia="TimesNewRomanPSMT"/>
          <w:i/>
          <w:iCs/>
          <w:sz w:val="28"/>
          <w:szCs w:val="28"/>
          <w:lang w:val="sr-RS" w:eastAsia="en-US"/>
        </w:rPr>
        <w:t>7</w:t>
      </w:r>
      <w:r>
        <w:rPr>
          <w:rFonts w:eastAsia="TimesNewRomanPSMT"/>
          <w:i/>
          <w:iCs/>
          <w:sz w:val="28"/>
          <w:szCs w:val="28"/>
          <w:lang w:eastAsia="en-US"/>
        </w:rPr>
        <w:t>.и 202</w:t>
      </w:r>
      <w:r>
        <w:rPr>
          <w:rFonts w:eastAsia="TimesNewRomanPSMT"/>
          <w:i/>
          <w:iCs/>
          <w:sz w:val="28"/>
          <w:szCs w:val="28"/>
          <w:lang w:val="sr-RS" w:eastAsia="en-US"/>
        </w:rPr>
        <w:t>8</w:t>
      </w:r>
      <w:r>
        <w:rPr>
          <w:rFonts w:eastAsia="TimesNewRomanPSMT"/>
          <w:i/>
          <w:iCs/>
          <w:sz w:val="28"/>
          <w:szCs w:val="28"/>
          <w:lang w:eastAsia="en-US"/>
        </w:rPr>
        <w:t>. годину, кoje је објављено на сајту Министарства финансија дефинисано је:</w:t>
      </w:r>
    </w:p>
    <w:p>
      <w:pPr>
        <w:pStyle w:val="Normal"/>
        <w:rPr>
          <w:rFonts w:eastAsia="TimesNewRomanPSMT"/>
          <w:i/>
          <w:i/>
          <w:iCs/>
          <w:sz w:val="28"/>
          <w:szCs w:val="28"/>
          <w:lang w:eastAsia="en-US"/>
        </w:rPr>
      </w:pPr>
      <w:r>
        <w:rPr>
          <w:rFonts w:eastAsia="TimesNewRomanPSMT"/>
          <w:i/>
          <w:iCs/>
          <w:sz w:val="28"/>
          <w:szCs w:val="28"/>
          <w:lang w:eastAsia="en-US"/>
        </w:rPr>
      </w:r>
    </w:p>
    <w:p>
      <w:pPr>
        <w:pStyle w:val="Normal"/>
        <w:rPr>
          <w:rFonts w:eastAsia="Calibri"/>
          <w:sz w:val="28"/>
          <w:szCs w:val="28"/>
          <w:lang w:eastAsia="en-US"/>
        </w:rPr>
      </w:pPr>
      <w:r>
        <w:rPr>
          <w:rFonts w:eastAsia="Calibri"/>
          <w:b/>
          <w:bCs/>
          <w:i/>
          <w:sz w:val="28"/>
          <w:szCs w:val="28"/>
          <w:lang w:eastAsia="en-US"/>
        </w:rPr>
        <w:t xml:space="preserve">1. Програмска структура буџета </w:t>
      </w:r>
    </w:p>
    <w:p>
      <w:pPr>
        <w:pStyle w:val="Normal"/>
        <w:rPr>
          <w:i/>
          <w:i/>
          <w:iCs/>
          <w:sz w:val="28"/>
          <w:szCs w:val="28"/>
        </w:rPr>
      </w:pPr>
      <w:r>
        <w:rPr>
          <w:i/>
          <w:iCs/>
          <w:sz w:val="28"/>
          <w:szCs w:val="28"/>
        </w:rPr>
        <w:t>Унапређење буџетског процеса кроз примену програмског буџетирања представља део реформе управљања јавним финансијама којим се ставља нагласак на утврђивање приоритета и оптимизацију потрошње у циљу подстицања привредног раста и ефикасног пружања квалитетних услуга јавне управе. Упутство за израду програмског буџета, као и Анекс 5 којим је дефинисана униформна програмска струкура буџета јединица локалне самоуправе за израду одлуке о буџету за 2026. годину и документ који садржи циљеве програма и програмских активности и листу униформних индикатора могу се наћи на сајту Министарства финансија (www.mfin.gov.rs).</w:t>
      </w:r>
    </w:p>
    <w:p>
      <w:pPr>
        <w:pStyle w:val="Normal"/>
        <w:rPr>
          <w:b/>
          <w:bCs/>
          <w:i/>
          <w:i/>
          <w:sz w:val="28"/>
          <w:szCs w:val="28"/>
        </w:rPr>
      </w:pPr>
      <w:r>
        <w:rPr>
          <w:b/>
          <w:bCs/>
          <w:i/>
          <w:sz w:val="28"/>
          <w:szCs w:val="28"/>
        </w:rPr>
        <w:t>2. Опште напомене за припрему одлуке о буџету локалне власти</w:t>
      </w:r>
    </w:p>
    <w:p>
      <w:pPr>
        <w:pStyle w:val="Normal"/>
        <w:jc w:val="both"/>
        <w:rPr>
          <w:i/>
          <w:i/>
          <w:iCs/>
          <w:sz w:val="28"/>
          <w:szCs w:val="28"/>
          <w:lang w:val="sr-Latn-RS"/>
        </w:rPr>
      </w:pPr>
      <w:r>
        <w:rPr>
          <w:i/>
          <w:iCs/>
          <w:sz w:val="28"/>
          <w:szCs w:val="28"/>
        </w:rPr>
        <w:t>Полазећи од одредаба Закона о буџетском систему, којима је дефинисано да одлука о буџету јединице локалне самоуправе треба да буде креирана уз поштовање све четири класификације које сачињавају стандардни класификациони оквир за буџетски систем, према изворима финансирања, посебно указујемо на неопходност поштовања одредаба члана 2. тач. 7) и 8) Закона о буџетском систему којима су дефинисани директни и индиректни корисници буџетских средстава. Оснивање корисника буџетских средстава мора да има утемељење у закону или другом пропису, у супротном сматраће се да није доследно спроведена одредба члана 2. тач. 7) и 8) Закона о буџетском систему, којима је дефинисан појам директних и индиректних корисника буџетских средстава. У контексту исказивања установа као индиректних корисника буџетских средстава у одлуци о буџету, не могу се спајати установе које обављају различите делатности имајући у виду да су делатности које обављају ове установе уређене различитим прописима, као и да се коефицијенти и други елементи за обрачун и исплату плата запослених у установама утврђују у зависности од врсте делатности установе. Такође, у складу са чланом 2. тачка 31) Закона о буџетском систему апропријације за индиректне кориснике буџетских средстава исказују се збирно по врстама индиректних корисника и наменама у оквиру раздела директног корисника који је, у буџетском смислу, одговоран за те индиректне кориснике буџетских средстава. Законом о буџетском систему је прописано да одредбе закона којима се уређује коришћење и расподела сопствених прихода које остваре установе основане од стране локалне власти над којима оснивач, преко директних корисника буџетских средстава, врши законом утврђена права у погледу управљања и финансирања, престају да важе кад се за то створе технички услови. С обзиром на то да је законодавац оставио могућност да установе до даљњег могу да користе сопствене приходе у складу са законом, надлежни орган треба да преиспита основаност и оправданост постојања рачуна сопствених прихода индиректних корисника буџетских средства (установе културе, спорта и сл.) у случају када коришћење и расподела тих прихода није уређена посебним законима. Уколико буџетски корисник, у складу са посебним законима, остварује сопствене приходе надлежни орган локалне власти дужан је да води рачуна да тај корисник извршава расходе и издатке првенствено из тог и других извора, па тек онда из извора 01 – општи приходи и примања буџета (члан 52. Закона о буџетском систему). Jавнe приходe остварене по основу пружања услуга боравка деце у предшколским установама треба планирати на извору 01 - општи приходи и примања буџета. Како би предшколске установе могле да прате остварење ових прихода, односно извршавање обавеза родитеља по том основу, потребно је да надлежни орган јединице локалне самоуправе изводе о оствареним уплатама овог прихода на прописан рачун за уплату јавних прихода достављају предшколским установама. Уколико јединице локалне самоуправе поступе по наведеним препорукама, неопходно је да у образложењу одлуке о буџету наведу правни основ за планирање наведених расхода са тим извором финансирања.</w:t>
      </w:r>
      <w:r>
        <w:rPr>
          <w:i/>
          <w:iCs/>
          <w:sz w:val="28"/>
          <w:szCs w:val="28"/>
          <w:lang w:val="sr-Latn-RS"/>
        </w:rPr>
        <w:t xml:space="preserve"> </w:t>
      </w:r>
    </w:p>
    <w:p>
      <w:pPr>
        <w:pStyle w:val="Normal"/>
        <w:jc w:val="both"/>
        <w:rPr>
          <w:i/>
          <w:i/>
          <w:iCs/>
          <w:sz w:val="28"/>
          <w:szCs w:val="28"/>
          <w:lang w:val="sr-Latn-RS"/>
        </w:rPr>
      </w:pPr>
      <w:r>
        <w:rPr>
          <w:i/>
          <w:iCs/>
          <w:sz w:val="28"/>
          <w:szCs w:val="28"/>
        </w:rPr>
        <w:t xml:space="preserve">У вези увођења принципа родно одговорног буџетирања у буџетски процес указујемо да је неопходно да надлежни орган локалне власти на годишњем нивоу донесе план поступног увођења родно одговорног буџетирања, којим ће одредити једног или више корисника буџетских средстава и један или више програма опредељеног буџетског корисника за који/које ће се дефинисати (на нивоу програма и/или програмске активности) најмање један родно одговоран циљ и одговарајући показатељи/индикатори који адекватно мере допринос циља унапређењу равноправости између жена и мушкараца. Израда грађанског буџета, као инструмента за повећање транспарентног исказивања на који начин и у које сврхе се користе јавна средства, представља својеврстан водич за грађане којима треба да се приближе надлежности и начин финансирања послова који се обављају у њиховим општинама и градовима. У циљу информисања и појашњења грађанима о начину трошења и за које сврхе се троше буџетска средства, потребно је да локална власт на једноставан и разумљив начин прикаже свој буџет грађанима са информацијама о буџетским приходима и примањима, расходима и издацима, изворима финансирања, буџетским корисницима и сл. и објави га на својој интернет страници. Имајући у виду обавезу корисника буџета да на основу праћења спровођења програма, у складу са Упуством за праћење и извештавање о учинку програма, израђују годишњи извештај о учинку програма (за последњу завршену фискалну годину), односно извештај о учинку програма за првих шест месеци текуће фискалне године (полугодишњи извештај) и достављају надлежном органу у роковима предвиђеним буџетским календаром неопходно је, да би се адекватно мерио учинак потрошње и добијале информације које се користе за унапређење ефективности и ефикасности јавне потрошње, да се приликом дефинисања показатеља тежити ка томе да они задовоље критеријум СМАРТ. Буџетски корисници дужни су да на својим интернет страницама објављују годишње финансијске извештаје и годишњи извештај о учинку програма, у складу са општим правилима о транспарентности. У складу са чланом 28. Закона о буџетском систему образложење одлуке о буџету садржи, између осталог, програмске информације које чине описи програма, програмских активности и пројеката корисника буџетских средстава, циљеве који се желе постићи у средњорочном периоду, као и показатеље учинака за праћење постизања наведених циљева. Законом о изменама и допунама Закона о буџетском систему („Службени гласник РС”, број 103/15) измењена је дефиниција наменских прихода, тако да су према усвојеном решењу наменски јавни приходи и примања дефинисани као јавни приходи, односно примања чије је коришћење и намена утврђена уговором о донацији, кредиту, односно зајму, као и средства самодоприноса чија се намена утврђује одлуком јединице локалне самоуправе. У поступку припреме и доношења буџета, треба планирати расходе за реализацију мера и активности утврђених посебним законима, у оквиру одређених програма, програмских активности, односно пројеката, с тим што се исти могу извршавати само до висине апропријације утврђене одлуком о буџету, без обзира на то да ли су ови приходи остварени у већем или мањем обиму од планираног. </w:t>
      </w:r>
      <w:r>
        <w:rPr>
          <w:i/>
          <w:iCs/>
          <w:sz w:val="28"/>
          <w:szCs w:val="28"/>
          <w:lang w:val="sr-Latn-RS"/>
        </w:rPr>
        <w:t xml:space="preserve">Уколико се у току године остваре наведени приходи у обиму већем од планираног актом у буџету, </w:t>
      </w:r>
      <w:r>
        <w:rPr>
          <w:b/>
          <w:i/>
          <w:iCs/>
          <w:sz w:val="28"/>
          <w:szCs w:val="28"/>
          <w:lang w:val="sr-Latn-RS"/>
        </w:rPr>
        <w:t>исти се могу користити и за извршавање других врста расхода</w:t>
      </w:r>
      <w:r>
        <w:rPr>
          <w:i/>
          <w:iCs/>
          <w:sz w:val="28"/>
          <w:szCs w:val="28"/>
          <w:lang w:val="sr-Latn-RS"/>
        </w:rPr>
        <w:t>, с обзиром на то да представљају опште приходе буџета којима се финансира јавна потрошња и који немају претходно утврђену намену. Такође, планирање висине расхода за намене предвиђене посебним прописима (чије одредбе нису стављени ван снаге) у поступку припреме и доношења буџета за наредну годину није условљено висином остварења тих прихода у текућој години.</w:t>
      </w:r>
    </w:p>
    <w:p>
      <w:pPr>
        <w:pStyle w:val="Normal"/>
        <w:jc w:val="both"/>
        <w:rPr>
          <w:i/>
          <w:i/>
          <w:iCs/>
          <w:sz w:val="28"/>
          <w:szCs w:val="28"/>
          <w:lang w:val="sr-RS"/>
        </w:rPr>
      </w:pPr>
      <w:r>
        <w:rPr>
          <w:i/>
          <w:iCs/>
          <w:sz w:val="28"/>
          <w:szCs w:val="28"/>
        </w:rPr>
        <w:t>У складу са чланом 27а Закона о буџетском систему извршни орган локалне власти је одговоран за спровођење фискалне политике и управљање јавном имовином, приходима и примањима и расходима и издацима. Законом су уређена правила и начин на који ће се спроводити ова одговорност, односно утврђени су општи принципи, процедуре и правила одговорног фискалног управљања којих се требају придржавати органи локалне власти (члан 27б Закона). С тим у вези, у циљу што ефикаснијег спровођења фискалне политике, Законом су утврђена и фискална правила за локалну власт, те је Законом утврђено ограничење у погледу висине стварања фискалног дефицита (члан 27ж Закона), тј. да фискални дефицит локалне власти може настати само као резултат јавних инвестиција и не може бити већи од 10% њених прихода у тој години. Поред наведеног чланом 27ж Закона је прописано да наведени законски лимит може бити прекорачен само уколико јединица локалне самоуправе добије претходно одобрење Министарства финансија. Захтев за добијање одобрења за прекорачење фискалног дефицита од 10% планираних текућих прихода се подноси Министарству најкасније до 1. oктобра текуће године, за наредну буџетску годину, а изузетно захтев за прекорачење може се поднети након 1. октобра текуће године, а најкасније до 31. јануара наредне године, уколико је прекорачење фискалног дефицита резултат примљених трансферних средстава од другог нивоа власти након истека рока из члана 27ж става 5. Закона.</w:t>
      </w:r>
    </w:p>
    <w:p>
      <w:pPr>
        <w:pStyle w:val="Normal"/>
        <w:jc w:val="both"/>
        <w:rPr>
          <w:i/>
          <w:i/>
          <w:iCs/>
          <w:sz w:val="28"/>
          <w:szCs w:val="28"/>
          <w:lang w:val="sr-RS"/>
        </w:rPr>
      </w:pPr>
      <w:r>
        <w:rPr>
          <w:i/>
          <w:iCs/>
          <w:sz w:val="28"/>
          <w:szCs w:val="28"/>
          <w:lang w:val="sr-RS"/>
        </w:rPr>
      </w:r>
    </w:p>
    <w:p>
      <w:pPr>
        <w:pStyle w:val="Normal"/>
        <w:jc w:val="both"/>
        <w:rPr>
          <w:b/>
          <w:i/>
          <w:i/>
          <w:sz w:val="28"/>
          <w:szCs w:val="28"/>
        </w:rPr>
      </w:pPr>
      <w:r>
        <w:rPr>
          <w:b/>
          <w:i/>
          <w:sz w:val="28"/>
          <w:szCs w:val="28"/>
        </w:rPr>
        <w:t>3. Основне економске претпоставке и смернице за припрему предлога финансијског плана буџетског корисника и одлуке о буџету локалне власти са средњорочним пројекцијама и инструкцијама у вези планирања прихода буџета</w:t>
      </w:r>
    </w:p>
    <w:p>
      <w:pPr>
        <w:pStyle w:val="Normal"/>
        <w:jc w:val="both"/>
        <w:rPr>
          <w:b/>
          <w:i/>
          <w:i/>
          <w:sz w:val="28"/>
          <w:szCs w:val="28"/>
        </w:rPr>
      </w:pPr>
      <w:r>
        <w:rPr>
          <w:b/>
          <w:i/>
          <w:sz w:val="28"/>
          <w:szCs w:val="28"/>
        </w:rPr>
      </w:r>
    </w:p>
    <w:p>
      <w:pPr>
        <w:pStyle w:val="Normal"/>
        <w:jc w:val="both"/>
        <w:rPr>
          <w:b/>
          <w:i/>
          <w:i/>
          <w:sz w:val="28"/>
          <w:szCs w:val="28"/>
        </w:rPr>
      </w:pPr>
      <w:r>
        <w:rPr>
          <w:b/>
          <w:i/>
          <w:sz w:val="28"/>
          <w:szCs w:val="28"/>
        </w:rPr>
        <w:t>Правци фискалне политике у 202</w:t>
      </w:r>
      <w:r>
        <w:rPr>
          <w:b/>
          <w:i/>
          <w:sz w:val="28"/>
          <w:szCs w:val="28"/>
          <w:lang w:val="sr-RS"/>
        </w:rPr>
        <w:t>6</w:t>
      </w:r>
      <w:r>
        <w:rPr>
          <w:b/>
          <w:i/>
          <w:sz w:val="28"/>
          <w:szCs w:val="28"/>
        </w:rPr>
        <w:t>.години</w:t>
      </w:r>
    </w:p>
    <w:p>
      <w:pPr>
        <w:pStyle w:val="Normal"/>
        <w:jc w:val="both"/>
        <w:rPr>
          <w:i/>
          <w:i/>
          <w:sz w:val="28"/>
          <w:szCs w:val="28"/>
        </w:rPr>
      </w:pPr>
      <w:r>
        <w:rPr>
          <w:i/>
          <w:sz w:val="28"/>
          <w:szCs w:val="28"/>
        </w:rPr>
      </w:r>
    </w:p>
    <w:p>
      <w:pPr>
        <w:pStyle w:val="Normal"/>
        <w:jc w:val="both"/>
        <w:rPr>
          <w:i/>
          <w:i/>
          <w:iCs/>
          <w:sz w:val="28"/>
          <w:szCs w:val="28"/>
          <w:lang w:val="sr-RS"/>
        </w:rPr>
      </w:pPr>
      <w:r>
        <w:rPr>
          <w:i/>
          <w:iCs/>
          <w:sz w:val="28"/>
          <w:szCs w:val="28"/>
        </w:rPr>
        <w:t>Упркос изазовним глобалним и регионалним условима, српска привреда је показала висок степен отпорности, што је резултат диверсификоване економске структуре и стабилне домаће потражње. У периоду од 2020. до 2024. године, кумулативни реални раст БДП-а износио је 18,4%, праћен историјски ниским нивоом незапослености и континуираним повећањем реалних зарада. Током 2024. године макроекономска кретања су била у складу са очекивањима – остварен је реални раст БДП од 3,9%, док је инфлација стабилизована у циљаним оквирима Народне банке Србије. Снажни макроекономски показатељи, рекордни приливи инвестиција и доследна примена одрживе фискалне политике довели су до тога да Србија први пут оствари инвестициони кредитни рејтинг. Прва половина 2025. године донела је успоравање привредног раста на 2,0%, првенствено услед домаће неизвесности и одложене потрошње. Ревидирана пројекција привредног раста за 2025. годину износи 2,3%, са очекиваним убрзањем на 3% у 2026. и на 5,0% у 2027. години, захваљујући кретању домаће тражње и великим инфраструктурним пројектима повезаним са Специјализованом светском изложбом EXPO 2027. Влада Републике Србије наставља са реализацијом амбициозног програма јавних инвестиција у оквиру стратешког плана „Скок у будућност – EXPO Србија 2027”, који укључује модернизацију инфраструктуре, дигитализацију, обновљиве изворе енергије и иновативне технологије. Планирана улагања имају за циљ модернизацију земље, јачање конкурентности домаће привреде и привлачење нових страних и домаћих инвестиција. Средњорочне перспективе привредног раста остају позитивне. Раст ће бити подржан стабилном домаћом тражњом, интензивном реализацијом инфраструктурних пројеката и даљим јачањем приватне потрошње и инвестиција. Посебан значај има ИКТ сектор, који бележи двоцифрене стопе раста извоза и све већи удео у БДП</w:t>
      </w:r>
      <w:r>
        <w:rPr>
          <w:i/>
          <w:iCs/>
          <w:sz w:val="28"/>
          <w:szCs w:val="28"/>
          <w:lang w:val="sr-RS"/>
        </w:rPr>
        <w:t>.</w:t>
      </w:r>
    </w:p>
    <w:p>
      <w:pPr>
        <w:pStyle w:val="Normal"/>
        <w:jc w:val="both"/>
        <w:rPr>
          <w:i/>
          <w:i/>
          <w:iCs/>
          <w:sz w:val="28"/>
          <w:szCs w:val="28"/>
          <w:lang w:val="sr-RS"/>
        </w:rPr>
      </w:pPr>
      <w:r>
        <w:rPr>
          <w:i/>
          <w:iCs/>
          <w:sz w:val="28"/>
          <w:szCs w:val="28"/>
          <w:lang w:val="sr-RS"/>
        </w:rPr>
      </w:r>
    </w:p>
    <w:tbl>
      <w:tblPr>
        <w:tblW w:w="1633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266"/>
        <w:gridCol w:w="3267"/>
        <w:gridCol w:w="3266"/>
        <w:gridCol w:w="3267"/>
        <w:gridCol w:w="3267"/>
      </w:tblGrid>
      <w:tr>
        <w:trPr/>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r>
      <w:tr>
        <w:trPr/>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r>
      <w:tr>
        <w:trPr/>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r>
      <w:tr>
        <w:trPr/>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6"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c>
          <w:tcPr>
            <w:tcW w:w="3267" w:type="dxa"/>
            <w:tcBorders>
              <w:top w:val="single" w:sz="4" w:space="0" w:color="000000"/>
              <w:left w:val="single" w:sz="4" w:space="0" w:color="000000"/>
              <w:bottom w:val="single" w:sz="4" w:space="0" w:color="000000"/>
              <w:right w:val="single" w:sz="4" w:space="0" w:color="000000"/>
            </w:tcBorders>
          </w:tcPr>
          <w:p>
            <w:pPr>
              <w:pStyle w:val="Normal"/>
              <w:jc w:val="both"/>
              <w:rPr>
                <w:i/>
                <w:i/>
                <w:iCs/>
                <w:vanish/>
                <w:sz w:val="28"/>
                <w:szCs w:val="28"/>
              </w:rPr>
            </w:pPr>
            <w:r>
              <w:rPr>
                <w:i/>
                <w:iCs/>
                <w:vanish/>
                <w:sz w:val="28"/>
                <w:szCs w:val="28"/>
              </w:rPr>
            </w:r>
          </w:p>
        </w:tc>
      </w:tr>
    </w:tbl>
    <w:p>
      <w:pPr>
        <w:pStyle w:val="Normal"/>
        <w:jc w:val="both"/>
        <w:rPr>
          <w:b/>
          <w:i/>
          <w:i/>
          <w:iCs/>
          <w:sz w:val="28"/>
          <w:szCs w:val="28"/>
        </w:rPr>
      </w:pPr>
      <w:r>
        <w:rPr>
          <w:b/>
          <w:i/>
          <w:iCs/>
          <w:sz w:val="28"/>
          <w:szCs w:val="28"/>
        </w:rPr>
        <w:t xml:space="preserve">Основне макроекономске претпоставке за </w:t>
      </w:r>
      <w:r>
        <w:rPr>
          <w:b/>
          <w:i/>
          <w:iCs/>
          <w:sz w:val="28"/>
          <w:szCs w:val="28"/>
          <w:lang w:val="sr-RS"/>
        </w:rPr>
        <w:t xml:space="preserve">2025 и </w:t>
      </w:r>
      <w:r>
        <w:rPr>
          <w:b/>
          <w:i/>
          <w:iCs/>
          <w:sz w:val="28"/>
          <w:szCs w:val="28"/>
        </w:rPr>
        <w:t>202</w:t>
      </w:r>
      <w:r>
        <w:rPr>
          <w:b/>
          <w:i/>
          <w:iCs/>
          <w:sz w:val="28"/>
          <w:szCs w:val="28"/>
          <w:lang w:val="sr-RS"/>
        </w:rPr>
        <w:t>6</w:t>
      </w:r>
      <w:r>
        <w:rPr>
          <w:b/>
          <w:i/>
          <w:iCs/>
          <w:sz w:val="28"/>
          <w:szCs w:val="28"/>
        </w:rPr>
        <w:t>.годину</w:t>
      </w:r>
    </w:p>
    <w:tbl>
      <w:tblPr>
        <w:tblW w:w="6862" w:type="dxa"/>
        <w:jc w:val="left"/>
        <w:tblInd w:w="1875" w:type="dxa"/>
        <w:tblLayout w:type="fixed"/>
        <w:tblCellMar>
          <w:top w:w="0" w:type="dxa"/>
          <w:left w:w="108" w:type="dxa"/>
          <w:bottom w:w="0" w:type="dxa"/>
          <w:right w:w="108" w:type="dxa"/>
        </w:tblCellMar>
        <w:tblLook w:firstRow="0" w:noVBand="0" w:lastRow="0" w:firstColumn="0" w:lastColumn="0" w:noHBand="0" w:val="0000"/>
      </w:tblPr>
      <w:tblGrid>
        <w:gridCol w:w="2287"/>
        <w:gridCol w:w="1144"/>
        <w:gridCol w:w="1143"/>
        <w:gridCol w:w="2288"/>
      </w:tblGrid>
      <w:tr>
        <w:trPr>
          <w:trHeight w:val="107" w:hRule="atLeast"/>
        </w:trPr>
        <w:tc>
          <w:tcPr>
            <w:tcW w:w="3431" w:type="dxa"/>
            <w:gridSpan w:val="2"/>
            <w:tcBorders>
              <w:bottom w:val="single" w:sz="4" w:space="0" w:color="000000"/>
            </w:tcBorders>
          </w:tcPr>
          <w:p>
            <w:pPr>
              <w:pStyle w:val="Normal"/>
              <w:rPr>
                <w:i/>
                <w:i/>
                <w:iCs/>
                <w:sz w:val="28"/>
                <w:szCs w:val="28"/>
                <w:lang w:val="sr-RS" w:eastAsia="en-US"/>
              </w:rPr>
            </w:pPr>
            <w:r>
              <w:rPr>
                <w:b/>
                <w:bCs/>
                <w:i/>
                <w:iCs/>
                <w:sz w:val="28"/>
                <w:szCs w:val="28"/>
                <w:lang w:val="sr-RS" w:eastAsia="en-US"/>
              </w:rPr>
              <w:t xml:space="preserve">                                              </w:t>
            </w:r>
            <w:r>
              <w:rPr>
                <w:b/>
                <w:bCs/>
                <w:i/>
                <w:iCs/>
                <w:sz w:val="28"/>
                <w:szCs w:val="28"/>
                <w:lang w:eastAsia="en-US"/>
              </w:rPr>
              <w:t>202</w:t>
            </w:r>
            <w:r>
              <w:rPr>
                <w:b/>
                <w:bCs/>
                <w:i/>
                <w:iCs/>
                <w:sz w:val="28"/>
                <w:szCs w:val="28"/>
                <w:lang w:val="sr-RS" w:eastAsia="en-US"/>
              </w:rPr>
              <w:t>5</w:t>
            </w:r>
          </w:p>
        </w:tc>
        <w:tc>
          <w:tcPr>
            <w:tcW w:w="3431" w:type="dxa"/>
            <w:gridSpan w:val="2"/>
            <w:tcBorders>
              <w:bottom w:val="single" w:sz="4" w:space="0" w:color="000000"/>
            </w:tcBorders>
          </w:tcPr>
          <w:p>
            <w:pPr>
              <w:pStyle w:val="Normal"/>
              <w:rPr>
                <w:i/>
                <w:i/>
                <w:iCs/>
                <w:sz w:val="28"/>
                <w:szCs w:val="28"/>
                <w:lang w:val="sr-RS" w:eastAsia="en-US"/>
              </w:rPr>
            </w:pPr>
            <w:r>
              <w:rPr>
                <w:b/>
                <w:bCs/>
                <w:i/>
                <w:iCs/>
                <w:sz w:val="28"/>
                <w:szCs w:val="28"/>
                <w:lang w:val="sr-RS" w:eastAsia="en-US"/>
              </w:rPr>
              <w:t xml:space="preserve">                      </w:t>
            </w:r>
            <w:r>
              <w:rPr>
                <w:b/>
                <w:bCs/>
                <w:i/>
                <w:iCs/>
                <w:sz w:val="28"/>
                <w:szCs w:val="28"/>
                <w:lang w:eastAsia="en-US"/>
              </w:rPr>
              <w:t>202</w:t>
            </w:r>
            <w:r>
              <w:rPr>
                <w:b/>
                <w:bCs/>
                <w:i/>
                <w:iCs/>
                <w:sz w:val="28"/>
                <w:szCs w:val="28"/>
                <w:lang w:val="sr-RS" w:eastAsia="en-US"/>
              </w:rPr>
              <w:t>6</w:t>
            </w:r>
          </w:p>
        </w:tc>
      </w:tr>
      <w:tr>
        <w:trPr>
          <w:trHeight w:val="165" w:hRule="atLeast"/>
        </w:trPr>
        <w:tc>
          <w:tcPr>
            <w:tcW w:w="2287" w:type="dxa"/>
            <w:tcBorders>
              <w:top w:val="single" w:sz="4" w:space="0" w:color="000000"/>
              <w:bottom w:val="single" w:sz="4" w:space="0" w:color="000000"/>
            </w:tcBorders>
          </w:tcPr>
          <w:p>
            <w:pPr>
              <w:pStyle w:val="Normal"/>
              <w:rPr>
                <w:i/>
                <w:i/>
                <w:iCs/>
                <w:sz w:val="28"/>
                <w:szCs w:val="28"/>
                <w:lang w:eastAsia="en-US"/>
              </w:rPr>
            </w:pPr>
            <w:r>
              <w:rPr>
                <w:b/>
                <w:bCs/>
                <w:i/>
                <w:iCs/>
                <w:sz w:val="28"/>
                <w:szCs w:val="28"/>
                <w:lang w:eastAsia="en-US"/>
              </w:rPr>
              <w:t>БДП, млрд РСД</w:t>
            </w:r>
          </w:p>
        </w:tc>
        <w:tc>
          <w:tcPr>
            <w:tcW w:w="2287" w:type="dxa"/>
            <w:gridSpan w:val="2"/>
            <w:tcBorders>
              <w:top w:val="single" w:sz="4" w:space="0" w:color="000000"/>
              <w:bottom w:val="single" w:sz="4" w:space="0" w:color="000000"/>
            </w:tcBorders>
          </w:tcPr>
          <w:p>
            <w:pPr>
              <w:pStyle w:val="Normal"/>
              <w:rPr>
                <w:i/>
                <w:i/>
                <w:iCs/>
                <w:sz w:val="28"/>
                <w:szCs w:val="28"/>
                <w:lang w:val="sr-RS" w:eastAsia="en-US"/>
              </w:rPr>
            </w:pPr>
            <w:r>
              <w:rPr>
                <w:i/>
                <w:iCs/>
                <w:sz w:val="28"/>
                <w:szCs w:val="28"/>
              </w:rPr>
              <w:t>10.377,9</w:t>
            </w:r>
          </w:p>
        </w:tc>
        <w:tc>
          <w:tcPr>
            <w:tcW w:w="2288" w:type="dxa"/>
            <w:tcBorders>
              <w:top w:val="single" w:sz="4" w:space="0" w:color="000000"/>
              <w:bottom w:val="single" w:sz="4" w:space="0" w:color="000000"/>
            </w:tcBorders>
          </w:tcPr>
          <w:p>
            <w:pPr>
              <w:pStyle w:val="Normal"/>
              <w:rPr>
                <w:i/>
                <w:i/>
                <w:iCs/>
                <w:sz w:val="28"/>
                <w:szCs w:val="28"/>
                <w:lang w:eastAsia="en-US"/>
              </w:rPr>
            </w:pPr>
            <w:r>
              <w:rPr>
                <w:i/>
                <w:iCs/>
                <w:sz w:val="28"/>
                <w:szCs w:val="28"/>
              </w:rPr>
              <w:t>11.085,1</w:t>
            </w:r>
          </w:p>
        </w:tc>
      </w:tr>
      <w:tr>
        <w:trPr>
          <w:trHeight w:val="90" w:hRule="atLeast"/>
        </w:trPr>
        <w:tc>
          <w:tcPr>
            <w:tcW w:w="2287" w:type="dxa"/>
            <w:tcBorders>
              <w:top w:val="single" w:sz="4" w:space="0" w:color="000000"/>
            </w:tcBorders>
          </w:tcPr>
          <w:p>
            <w:pPr>
              <w:pStyle w:val="Normal"/>
              <w:rPr>
                <w:b/>
                <w:bCs/>
                <w:i/>
                <w:i/>
                <w:iCs/>
                <w:sz w:val="28"/>
                <w:szCs w:val="28"/>
                <w:lang w:eastAsia="en-US"/>
              </w:rPr>
            </w:pPr>
            <w:r>
              <w:rPr>
                <w:b/>
                <w:bCs/>
                <w:i/>
                <w:iCs/>
                <w:sz w:val="28"/>
                <w:szCs w:val="28"/>
                <w:lang w:eastAsia="en-US"/>
              </w:rPr>
            </w:r>
          </w:p>
        </w:tc>
        <w:tc>
          <w:tcPr>
            <w:tcW w:w="2287" w:type="dxa"/>
            <w:gridSpan w:val="2"/>
            <w:tcBorders>
              <w:top w:val="single" w:sz="4" w:space="0" w:color="000000"/>
            </w:tcBorders>
          </w:tcPr>
          <w:p>
            <w:pPr>
              <w:pStyle w:val="Normal"/>
              <w:rPr>
                <w:i/>
                <w:i/>
                <w:iCs/>
                <w:sz w:val="28"/>
                <w:szCs w:val="28"/>
                <w:lang w:eastAsia="en-US"/>
              </w:rPr>
            </w:pPr>
            <w:r>
              <w:rPr>
                <w:i/>
                <w:iCs/>
                <w:sz w:val="28"/>
                <w:szCs w:val="28"/>
                <w:lang w:eastAsia="en-US"/>
              </w:rPr>
            </w:r>
          </w:p>
        </w:tc>
        <w:tc>
          <w:tcPr>
            <w:tcW w:w="2288" w:type="dxa"/>
            <w:tcBorders>
              <w:top w:val="single" w:sz="4" w:space="0" w:color="000000"/>
            </w:tcBorders>
          </w:tcPr>
          <w:p>
            <w:pPr>
              <w:pStyle w:val="Normal"/>
              <w:rPr>
                <w:i/>
                <w:i/>
                <w:iCs/>
                <w:sz w:val="28"/>
                <w:szCs w:val="28"/>
                <w:lang w:eastAsia="en-US"/>
              </w:rPr>
            </w:pPr>
            <w:r>
              <w:rPr>
                <w:i/>
                <w:iCs/>
                <w:sz w:val="28"/>
                <w:szCs w:val="28"/>
                <w:lang w:eastAsia="en-US"/>
              </w:rPr>
            </w:r>
          </w:p>
        </w:tc>
      </w:tr>
      <w:tr>
        <w:trPr>
          <w:trHeight w:val="245" w:hRule="atLeast"/>
        </w:trPr>
        <w:tc>
          <w:tcPr>
            <w:tcW w:w="2287" w:type="dxa"/>
            <w:tcBorders>
              <w:bottom w:val="single" w:sz="4" w:space="0" w:color="000000"/>
            </w:tcBorders>
          </w:tcPr>
          <w:p>
            <w:pPr>
              <w:pStyle w:val="Normal"/>
              <w:rPr>
                <w:i/>
                <w:i/>
                <w:iCs/>
                <w:sz w:val="28"/>
                <w:szCs w:val="28"/>
                <w:lang w:eastAsia="en-US"/>
              </w:rPr>
            </w:pPr>
            <w:r>
              <w:rPr>
                <w:b/>
                <w:bCs/>
                <w:i/>
                <w:iCs/>
                <w:sz w:val="28"/>
                <w:szCs w:val="28"/>
                <w:lang w:eastAsia="en-US"/>
              </w:rPr>
              <w:t>Стопа номиналног раста БДП, %</w:t>
            </w:r>
          </w:p>
        </w:tc>
        <w:tc>
          <w:tcPr>
            <w:tcW w:w="2287" w:type="dxa"/>
            <w:gridSpan w:val="2"/>
            <w:tcBorders>
              <w:bottom w:val="single" w:sz="4" w:space="0" w:color="000000"/>
            </w:tcBorders>
          </w:tcPr>
          <w:p>
            <w:pPr>
              <w:pStyle w:val="Normal"/>
              <w:rPr>
                <w:i/>
                <w:i/>
                <w:iCs/>
                <w:sz w:val="28"/>
                <w:szCs w:val="28"/>
                <w:lang w:val="sr-RS" w:eastAsia="en-US"/>
              </w:rPr>
            </w:pPr>
            <w:r>
              <w:rPr>
                <w:i/>
                <w:iCs/>
                <w:sz w:val="28"/>
                <w:szCs w:val="28"/>
                <w:lang w:val="sr-RS" w:eastAsia="en-US"/>
              </w:rPr>
              <w:t>6</w:t>
            </w:r>
            <w:r>
              <w:rPr>
                <w:i/>
                <w:iCs/>
                <w:sz w:val="28"/>
                <w:szCs w:val="28"/>
                <w:lang w:eastAsia="en-US"/>
              </w:rPr>
              <w:t>,</w:t>
            </w:r>
            <w:r>
              <w:rPr>
                <w:i/>
                <w:iCs/>
                <w:sz w:val="28"/>
                <w:szCs w:val="28"/>
                <w:lang w:val="sr-RS" w:eastAsia="en-US"/>
              </w:rPr>
              <w:t>5</w:t>
            </w:r>
          </w:p>
        </w:tc>
        <w:tc>
          <w:tcPr>
            <w:tcW w:w="2288" w:type="dxa"/>
            <w:tcBorders>
              <w:bottom w:val="single" w:sz="4" w:space="0" w:color="000000"/>
            </w:tcBorders>
          </w:tcPr>
          <w:p>
            <w:pPr>
              <w:pStyle w:val="Normal"/>
              <w:rPr>
                <w:b/>
                <w:i/>
                <w:i/>
                <w:iCs/>
                <w:sz w:val="28"/>
                <w:szCs w:val="28"/>
                <w:lang w:val="sr-RS" w:eastAsia="en-US"/>
              </w:rPr>
            </w:pPr>
            <w:r>
              <w:rPr>
                <w:b/>
                <w:i/>
                <w:iCs/>
                <w:sz w:val="28"/>
                <w:szCs w:val="28"/>
                <w:lang w:val="sr-RS" w:eastAsia="en-US"/>
              </w:rPr>
              <w:t>6,8</w:t>
            </w:r>
          </w:p>
        </w:tc>
      </w:tr>
      <w:tr>
        <w:trPr>
          <w:trHeight w:val="245" w:hRule="atLeast"/>
        </w:trPr>
        <w:tc>
          <w:tcPr>
            <w:tcW w:w="2287" w:type="dxa"/>
            <w:tcBorders>
              <w:top w:val="single" w:sz="4" w:space="0" w:color="000000"/>
              <w:bottom w:val="single" w:sz="4" w:space="0" w:color="000000"/>
            </w:tcBorders>
          </w:tcPr>
          <w:p>
            <w:pPr>
              <w:pStyle w:val="Normal"/>
              <w:rPr>
                <w:i/>
                <w:i/>
                <w:iCs/>
                <w:sz w:val="28"/>
                <w:szCs w:val="28"/>
                <w:lang w:eastAsia="en-US"/>
              </w:rPr>
            </w:pPr>
            <w:r>
              <w:rPr>
                <w:b/>
                <w:bCs/>
                <w:i/>
                <w:iCs/>
                <w:sz w:val="28"/>
                <w:szCs w:val="28"/>
                <w:lang w:eastAsia="en-US"/>
              </w:rPr>
              <w:t>Стопе реалног раста БДП,%</w:t>
            </w:r>
          </w:p>
        </w:tc>
        <w:tc>
          <w:tcPr>
            <w:tcW w:w="2287" w:type="dxa"/>
            <w:gridSpan w:val="2"/>
            <w:tcBorders>
              <w:top w:val="single" w:sz="4" w:space="0" w:color="000000"/>
              <w:bottom w:val="single" w:sz="4" w:space="0" w:color="000000"/>
            </w:tcBorders>
          </w:tcPr>
          <w:p>
            <w:pPr>
              <w:pStyle w:val="Normal"/>
              <w:rPr>
                <w:i/>
                <w:i/>
                <w:iCs/>
                <w:sz w:val="28"/>
                <w:szCs w:val="28"/>
                <w:lang w:eastAsia="en-US"/>
              </w:rPr>
            </w:pPr>
            <w:r>
              <w:rPr>
                <w:i/>
                <w:iCs/>
                <w:sz w:val="28"/>
                <w:szCs w:val="28"/>
                <w:lang w:val="sr-RS" w:eastAsia="en-US"/>
              </w:rPr>
              <w:t>2,3</w:t>
            </w:r>
          </w:p>
        </w:tc>
        <w:tc>
          <w:tcPr>
            <w:tcW w:w="2288" w:type="dxa"/>
            <w:tcBorders>
              <w:top w:val="single" w:sz="4" w:space="0" w:color="000000"/>
              <w:bottom w:val="single" w:sz="4" w:space="0" w:color="000000"/>
            </w:tcBorders>
          </w:tcPr>
          <w:p>
            <w:pPr>
              <w:pStyle w:val="Normal"/>
              <w:rPr>
                <w:i/>
                <w:i/>
                <w:iCs/>
                <w:sz w:val="28"/>
                <w:szCs w:val="28"/>
                <w:lang w:val="sr-RS" w:eastAsia="en-US"/>
              </w:rPr>
            </w:pPr>
            <w:r>
              <w:rPr>
                <w:i/>
                <w:iCs/>
                <w:sz w:val="28"/>
                <w:szCs w:val="28"/>
                <w:lang w:val="sr-RS" w:eastAsia="en-US"/>
              </w:rPr>
              <w:t>3,0</w:t>
            </w:r>
          </w:p>
        </w:tc>
      </w:tr>
      <w:tr>
        <w:trPr>
          <w:trHeight w:val="245" w:hRule="atLeast"/>
        </w:trPr>
        <w:tc>
          <w:tcPr>
            <w:tcW w:w="2287" w:type="dxa"/>
            <w:tcBorders>
              <w:top w:val="single" w:sz="4" w:space="0" w:color="000000"/>
              <w:bottom w:val="single" w:sz="4" w:space="0" w:color="000000"/>
            </w:tcBorders>
          </w:tcPr>
          <w:p>
            <w:pPr>
              <w:pStyle w:val="Normal"/>
              <w:rPr>
                <w:i/>
                <w:i/>
                <w:iCs/>
                <w:sz w:val="28"/>
                <w:szCs w:val="28"/>
                <w:lang w:eastAsia="en-US"/>
              </w:rPr>
            </w:pPr>
            <w:r>
              <w:rPr>
                <w:b/>
                <w:bCs/>
                <w:i/>
                <w:iCs/>
                <w:sz w:val="28"/>
                <w:szCs w:val="28"/>
                <w:lang w:eastAsia="en-US"/>
              </w:rPr>
              <w:t>Потрошачке цене (годишњи просек), %</w:t>
            </w:r>
          </w:p>
        </w:tc>
        <w:tc>
          <w:tcPr>
            <w:tcW w:w="2287" w:type="dxa"/>
            <w:gridSpan w:val="2"/>
            <w:tcBorders>
              <w:top w:val="single" w:sz="4" w:space="0" w:color="000000"/>
              <w:bottom w:val="single" w:sz="4" w:space="0" w:color="000000"/>
            </w:tcBorders>
          </w:tcPr>
          <w:p>
            <w:pPr>
              <w:pStyle w:val="Normal"/>
              <w:rPr>
                <w:i/>
                <w:i/>
                <w:iCs/>
                <w:sz w:val="28"/>
                <w:szCs w:val="28"/>
                <w:lang w:eastAsia="en-US"/>
              </w:rPr>
            </w:pPr>
            <w:r>
              <w:rPr>
                <w:i/>
                <w:iCs/>
                <w:sz w:val="28"/>
                <w:szCs w:val="28"/>
                <w:lang w:val="sr-RS" w:eastAsia="en-US"/>
              </w:rPr>
              <w:t>3,9</w:t>
            </w:r>
          </w:p>
        </w:tc>
        <w:tc>
          <w:tcPr>
            <w:tcW w:w="2288" w:type="dxa"/>
            <w:tcBorders>
              <w:top w:val="single" w:sz="4" w:space="0" w:color="000000"/>
              <w:bottom w:val="single" w:sz="4" w:space="0" w:color="000000"/>
            </w:tcBorders>
          </w:tcPr>
          <w:p>
            <w:pPr>
              <w:pStyle w:val="Normal"/>
              <w:rPr>
                <w:i/>
                <w:i/>
                <w:iCs/>
                <w:sz w:val="28"/>
                <w:szCs w:val="28"/>
                <w:lang w:val="sr-RS" w:eastAsia="en-US"/>
              </w:rPr>
            </w:pPr>
            <w:r>
              <w:rPr>
                <w:i/>
                <w:iCs/>
                <w:sz w:val="28"/>
                <w:szCs w:val="28"/>
                <w:lang w:val="sr-RS" w:eastAsia="en-US"/>
              </w:rPr>
              <w:t>3,7</w:t>
            </w:r>
          </w:p>
        </w:tc>
      </w:tr>
    </w:tbl>
    <w:p>
      <w:pPr>
        <w:pStyle w:val="Normal"/>
        <w:jc w:val="both"/>
        <w:rPr>
          <w:i/>
          <w:i/>
          <w:iCs/>
          <w:sz w:val="28"/>
          <w:szCs w:val="28"/>
          <w:lang w:val="sr-RS"/>
        </w:rPr>
      </w:pPr>
      <w:r>
        <w:rPr>
          <w:i/>
          <w:iCs/>
          <w:sz w:val="28"/>
          <w:szCs w:val="28"/>
          <w:lang w:val="sr-RS"/>
        </w:rPr>
      </w:r>
    </w:p>
    <w:p>
      <w:pPr>
        <w:pStyle w:val="Normal"/>
        <w:jc w:val="both"/>
        <w:rPr>
          <w:i/>
          <w:i/>
          <w:iCs/>
          <w:sz w:val="28"/>
          <w:szCs w:val="28"/>
          <w:u w:val="single"/>
          <w:lang w:val="sr-RS"/>
        </w:rPr>
      </w:pPr>
      <w:r>
        <w:rPr>
          <w:i/>
          <w:iCs/>
          <w:sz w:val="28"/>
          <w:szCs w:val="28"/>
        </w:rPr>
        <w:t xml:space="preserve">Фискална дисциплина остаје темељни принцип економске политике, уз пажљиво планирани буџетски дефицит од око 3,0% БДП током инвестиционог циклуса, са постепеним смањењем на 2,5% БДП-а до 2028. године. Овакав оквир обезбеђује континуирано смањење удела јавног дуга у БДП-у, који ће се, према тренутним проценама, спустити на око 44% до 5 краја средњорочног периода. Истовремено, јавне инвестиције остају приоритет и биће задржане на високом нивоу од преко 6,4% БДП просечно годишње, уз даље јачање механизама контроле и унапређење транспарентности у управљању капиталним пројектима. </w:t>
      </w:r>
      <w:r>
        <w:rPr>
          <w:b/>
          <w:bCs/>
          <w:i/>
          <w:iCs/>
          <w:sz w:val="28"/>
          <w:szCs w:val="28"/>
        </w:rPr>
        <w:t>Приликом планирања прихода локална власт је у обавези да исте реално планира, тј. потребно је поћи од остварења прихода за три квартала у 2025. години и остварења прихода у четвртом кварталу 2024. године који је увећан за 7,5%. Тако утврђен износ представља основ за њихово увећање, при чему укупан раст прихода не сме да буде већи од номиналног раста БДП (пројектован номинални раст у 2026. години од 6,8%).</w:t>
      </w:r>
      <w:r>
        <w:rPr>
          <w:i/>
          <w:iCs/>
          <w:sz w:val="28"/>
          <w:szCs w:val="28"/>
        </w:rPr>
        <w:t xml:space="preserve"> </w:t>
      </w:r>
      <w:bookmarkStart w:id="337" w:name="_Hlk214398070"/>
      <w:r>
        <w:rPr>
          <w:i/>
          <w:iCs/>
          <w:sz w:val="28"/>
          <w:szCs w:val="28"/>
          <w:u w:val="single"/>
        </w:rPr>
        <w:t>Приликом планирања текућих прихода потребно је узети у обзир приходе из свих извора финансирања, осим извора финансирања 07 - трансфери од других нивоа власти. Апропријације прихода и примања, расхода и издатака из изворa финансирања 07 - трансфери од других нивоа власти, 08 - добровољни трансфери од физичких и правних лица и 09 - примања од продаје нефинансијске имовине могу се планирати само уколико јединица локалне самоуправе поседује уговор или други одговарајући акт из чије садржине се на несумњив начин може утврдити да ће средства по овом основу бити остварена у 2026. години.</w:t>
      </w:r>
      <w:bookmarkEnd w:id="337"/>
    </w:p>
    <w:p>
      <w:pPr>
        <w:pStyle w:val="Normal"/>
        <w:jc w:val="both"/>
        <w:rPr>
          <w:b/>
          <w:i/>
          <w:i/>
          <w:iCs/>
          <w:sz w:val="28"/>
          <w:szCs w:val="28"/>
          <w:lang w:val="sr-RS"/>
        </w:rPr>
      </w:pPr>
      <w:r>
        <w:rPr>
          <w:b/>
          <w:i/>
          <w:iCs/>
          <w:sz w:val="28"/>
          <w:szCs w:val="28"/>
          <w:lang w:val="sr-RS"/>
        </w:rPr>
      </w:r>
    </w:p>
    <w:p>
      <w:pPr>
        <w:pStyle w:val="Normal"/>
        <w:jc w:val="both"/>
        <w:rPr>
          <w:i/>
          <w:i/>
          <w:iCs/>
          <w:sz w:val="28"/>
          <w:szCs w:val="28"/>
          <w:lang w:val="sr-RS"/>
        </w:rPr>
      </w:pPr>
      <w:r>
        <w:rPr>
          <w:i/>
          <w:iCs/>
          <w:sz w:val="28"/>
          <w:szCs w:val="28"/>
        </w:rPr>
        <w:t xml:space="preserve">Табела у оквиру које је утврђен износ који представља лимит за планирање укупног обима прихода за 2026. годину, биће достављена свакој јединици локалне самоуправе уз ово Упутство. Јединице локалне самоуправе које на основу остварења прихода у току 2026. године, утврде да ће укупно планирани износ текућих прихода (класа 7) прећи лимит дозвољеног увећања за 2026. годину (6,8%), моћи ће да изврше корекцију истог (у поступку ребаланса или подизањем приходне апропријације на основу члана 5. ст. 4-5 ЗОБС) </w:t>
      </w:r>
      <w:r>
        <w:rPr>
          <w:b/>
          <w:bCs/>
          <w:i/>
          <w:iCs/>
          <w:sz w:val="28"/>
          <w:szCs w:val="28"/>
        </w:rPr>
        <w:t>уз претходно прибављену сагласност Министарства финансија</w:t>
      </w:r>
      <w:r>
        <w:rPr>
          <w:i/>
          <w:iCs/>
          <w:sz w:val="28"/>
          <w:szCs w:val="28"/>
        </w:rPr>
        <w:t xml:space="preserve">. Уколико локална власт очекује приходе по основу донација, апропријације прихода и расхода (извор финансирања 05 и 06) може планирати искључиво уколико у вези истих поседује закључен уговор/споразум из чије садржине се на несумњив начин може утврдити да ће средства по овом основу бити остварена у 2026. години. Ненаменске трансфере јединице локалне самоуправе треба да планирају у истом износу који је био опредељен Законом о буџету Републике Србије за 2025. годину („Службени гласник РС”, број 92/23). Примања од продаје нефинансијске имовине јединице локалне самоуправе треба да планирају само уколико је извесно да ће иста бити остварена у току 2026. године, односно уколико јединица локалне самоуправе у вези остварења истих поседује закључен уговор или други одговорајући акт у коме је утврђено да је рок остварења истих у 2026. години. Напомињемо да ће у Закону о буџету за 2026. годину бити прописано да се за општине и градове сврстане у четврту групу по степену развијености, приликом спровођења јавних конкурса за финансирање и суфинансирање пројеката од стране надлежних министарства, односно органа аутономних покрајина, неће захтевати сопствено учешће у финансирању. У складу са чланом 5. Закона о буџетском систему приходи и примања исказују се у укупно оствареним износима, а расходи и издаци у укупно извршеним износима. 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сви јавни приходи и примања којима се финансирају надлежности локалне власти </w:t>
      </w:r>
      <w:r>
        <w:rPr>
          <w:b/>
          <w:bCs/>
          <w:i/>
          <w:iCs/>
          <w:sz w:val="28"/>
          <w:szCs w:val="28"/>
        </w:rPr>
        <w:t>треба да буду уплаћени на рачуне прописане за уплату јавних прихода</w:t>
      </w:r>
      <w:r>
        <w:rPr>
          <w:i/>
          <w:iCs/>
          <w:sz w:val="28"/>
          <w:szCs w:val="28"/>
        </w:rPr>
        <w:t xml:space="preserve">, чиме би се испоштовало уставно начело бруто принципа (члан 92. Устава Републике Србије), а не на подрачуне корисника буџетских средстава. </w:t>
      </w:r>
    </w:p>
    <w:p>
      <w:pPr>
        <w:pStyle w:val="Normal"/>
        <w:jc w:val="both"/>
        <w:rPr>
          <w:sz w:val="28"/>
          <w:szCs w:val="28"/>
          <w:lang w:val="sr-RS"/>
        </w:rPr>
      </w:pPr>
      <w:r>
        <w:rPr>
          <w:sz w:val="28"/>
          <w:szCs w:val="28"/>
          <w:lang w:val="sr-RS"/>
        </w:rPr>
      </w:r>
    </w:p>
    <w:p>
      <w:pPr>
        <w:pStyle w:val="Normal"/>
        <w:jc w:val="both"/>
        <w:rPr>
          <w:b/>
          <w:i/>
          <w:i/>
          <w:sz w:val="28"/>
          <w:szCs w:val="28"/>
        </w:rPr>
      </w:pPr>
      <w:r>
        <w:rPr>
          <w:b/>
          <w:i/>
          <w:sz w:val="28"/>
          <w:szCs w:val="28"/>
        </w:rPr>
        <w:t>4. Доношење одлуке о локалним комуналним таксама за 202</w:t>
      </w:r>
      <w:r>
        <w:rPr>
          <w:b/>
          <w:i/>
          <w:sz w:val="28"/>
          <w:szCs w:val="28"/>
          <w:lang w:val="sr-RS"/>
        </w:rPr>
        <w:t>6</w:t>
      </w:r>
      <w:r>
        <w:rPr>
          <w:b/>
          <w:i/>
          <w:sz w:val="28"/>
          <w:szCs w:val="28"/>
        </w:rPr>
        <w:t>. годину</w:t>
      </w:r>
    </w:p>
    <w:p>
      <w:pPr>
        <w:pStyle w:val="Normal"/>
        <w:jc w:val="both"/>
        <w:rPr>
          <w:i/>
          <w:i/>
          <w:sz w:val="28"/>
          <w:szCs w:val="28"/>
          <w:lang w:val="sr-RS"/>
        </w:rPr>
      </w:pPr>
      <w:r>
        <w:rPr>
          <w:i/>
          <w:iCs/>
          <w:sz w:val="28"/>
          <w:szCs w:val="28"/>
        </w:rPr>
        <w:t>Чланом 7. Закона о финансирању локалне самоуправе („Службени гласник РС”, бр. 62/06, 47/11, 93/12, 99/13, 125/14, 95/15, 83/16, 91/16, 104/16, 96/17, 89/18, 95/18, 86/19, 126/20 и 111/21 - у даљем тексту: Закон) прописано је да начин и мерила за одређивање висине локалних такси и накнада утврђује скупштина јединице локалне самоуправе својом одлуком, у складу са законом, као и да се доноси након одржавања јавне расправе, а може се мењати највише једанпут годишње, и то у поступку утврђивања буџета јединице локалне самоуправе за наредну годину. С тим у вези када је у питању подношење захтева за добијање сагласности за утврђивање локалне комуналне таксе за истицање фирме на пословном простору (фирмарина) у износу већем од оног који је прописан чланом 15а Закона о финасирању локалне самоуправе, указујемо да јединице локалне самоуправе могу поднети захтев за добијање сагласности за утврђивање већег износа фирмарине све до окончања поступка утврђивања буџета за наредну годину, тј. до усвајања Одлуке о буџету за наредну годину од стране скупштине локалне власти. Такође, приликом утврђивања фирмарине, јединице локалне самоуправе треба да се везују за правно лице, а не за пословни простор и то на годишњем нивоу. Наведено значи да независно од тога на колико је објеката истакнута фирма, укупна годишња фирмарина за одређено правно лице не може бити већа од максимума који је прописан чланом 15а за категорију којој то правно лице припада. Одредбом члана 15в Закона о финансирању локалне самоуправе прописано је да се највиши износи локалне комуналне таксе за држање моторних друмских и прикључних возила, осим пољопривредних возила и машина усклађују годишње, са годишњим индексом потрошачких цена који објављује републички орган надлежан за послове статистике.</w:t>
      </w:r>
      <w:r>
        <w:rPr>
          <w:sz w:val="28"/>
          <w:szCs w:val="28"/>
        </w:rPr>
        <w:t xml:space="preserve"> </w:t>
      </w:r>
      <w:r>
        <w:rPr>
          <w:i/>
          <w:iCs/>
          <w:sz w:val="28"/>
          <w:szCs w:val="28"/>
        </w:rPr>
        <w:t>Највишe износe локалне комуналне таксе, усклађенe са годишњим индексом потрошачких цена утврђује Влада, сагласно члану 15в став 4. Закона, а исти се објављују у „Службеном гласнику Републике Србије”. Локална комунална такса за држање моторних друмских и прикључних возила, осим пољопривредних возила и машина, мора бити усклађена са чланом 7. Закона о безбедности саобраћаја на путевима („Службени гласник РС”, бр. 41/09...41/18, 87/18, 23/19, 128/20, 76/23 и 19/25), односно са Правилником о подели моторних и прикључних возила и техничким условима за возила у саобраћају на путевима („Службени гласник РС”, бр. 40/12...70/18, 95/18, 104/18,93/19, 2/20, 64/21, 143/22, 48/23, 24/24, 101/24 и 53/25), донетим на основу члана 7. став 2. Закона о безбедности саобраћаја на путевима, тако да је потребно ускладити врсте возила са наведеним законом и правилником, а висину комуналне таксе за та возила утврдити у оквиру усклађених највиших износа ове локалне комуналне таксе, како би полицијске управе без проблема вршиле наплату овог локалног јавног прихода. Имајући у виду да према члану 32. Закона о локалној самоуправи („Службени гласник РС”, број 129/07, 83/14 - др.закон, 101/16 - др.закон, 47/18 и 111/21) скупштина јединице локалне самоуправе, у складу са законом, између осталог, утврђује стопе изворних прихода, као и начин и мерила за одређивање висине локалних такси и накнада, јединице локалне самоуправе су у обавези да, приликом одређивања висине локалних комуналних такси, имају у виду члан 91. Устава Републике Србије, према коме се обавеза плаћања пореза и других дажбина заснива на економској моћи обвезника. У складу са тим, јединице локалне</w:t>
      </w:r>
      <w:r>
        <w:rPr>
          <w:i/>
          <w:iCs/>
          <w:sz w:val="28"/>
          <w:szCs w:val="28"/>
          <w:lang w:val="sr-RS"/>
        </w:rPr>
        <w:t xml:space="preserve"> </w:t>
      </w:r>
      <w:r>
        <w:rPr>
          <w:i/>
          <w:iCs/>
          <w:sz w:val="28"/>
          <w:szCs w:val="28"/>
        </w:rPr>
        <w:t>самоуправе су у обавези да определе висину локалних комуналних такси која неће угрозити нормално функционисање обвезника. Такође, актом којим се утврђују локалне комуналне таксе не може се прописивати таксени основ, односно проширивати предмет таксене обавезе утврђене законом, с обзиром да би то за последицу имало неусклађеност одлуке са Уставом и законом.</w:t>
      </w:r>
    </w:p>
    <w:p>
      <w:pPr>
        <w:pStyle w:val="Normal"/>
        <w:jc w:val="both"/>
        <w:rPr>
          <w:i/>
          <w:i/>
          <w:sz w:val="28"/>
          <w:szCs w:val="28"/>
        </w:rPr>
      </w:pPr>
      <w:r>
        <w:rPr>
          <w:i/>
          <w:sz w:val="28"/>
          <w:szCs w:val="28"/>
        </w:rPr>
      </w:r>
    </w:p>
    <w:p>
      <w:pPr>
        <w:pStyle w:val="Normal"/>
        <w:jc w:val="both"/>
        <w:rPr>
          <w:b/>
          <w:i/>
          <w:i/>
          <w:sz w:val="28"/>
          <w:szCs w:val="28"/>
        </w:rPr>
      </w:pPr>
      <w:r>
        <w:rPr>
          <w:b/>
          <w:i/>
          <w:sz w:val="28"/>
          <w:szCs w:val="28"/>
        </w:rPr>
        <w:t>5. Обим средстава, односно лимит расхода и издатака буџетских корисника за 202</w:t>
      </w:r>
      <w:r>
        <w:rPr>
          <w:b/>
          <w:i/>
          <w:sz w:val="28"/>
          <w:szCs w:val="28"/>
          <w:lang w:val="sr-RS"/>
        </w:rPr>
        <w:t>6</w:t>
      </w:r>
      <w:r>
        <w:rPr>
          <w:b/>
          <w:i/>
          <w:sz w:val="28"/>
          <w:szCs w:val="28"/>
        </w:rPr>
        <w:t>. годину, са пројекцијама за наредне две фискалне године</w:t>
      </w:r>
    </w:p>
    <w:p>
      <w:pPr>
        <w:pStyle w:val="Normal"/>
        <w:jc w:val="both"/>
        <w:rPr>
          <w:i/>
          <w:i/>
          <w:sz w:val="28"/>
          <w:szCs w:val="28"/>
        </w:rPr>
      </w:pPr>
      <w:r>
        <w:rPr>
          <w:i/>
          <w:sz w:val="28"/>
          <w:szCs w:val="28"/>
        </w:rPr>
        <w:t>Имајући у виду величину потребног фискалног прилагођавања, у овом упутству утврђују се смернице за планирање појединих категорија расхода и издатака, као и ограничења расхода и издатака корисника буџетских средстава.</w:t>
      </w:r>
    </w:p>
    <w:p>
      <w:pPr>
        <w:pStyle w:val="Normal"/>
        <w:jc w:val="both"/>
        <w:rPr>
          <w:b/>
          <w:i/>
          <w:i/>
          <w:sz w:val="28"/>
          <w:szCs w:val="28"/>
          <w:lang w:val="sr-RS"/>
        </w:rPr>
      </w:pPr>
      <w:r>
        <w:rPr>
          <w:i/>
          <w:sz w:val="28"/>
          <w:szCs w:val="28"/>
          <w:lang w:val="sr-RS"/>
        </w:rPr>
        <w:t xml:space="preserve">Приликом планирња обима средстава, односно лимита расхода и издатака за сваког буџетског корисника, локални орган управе задужен за финансије </w:t>
      </w:r>
      <w:r>
        <w:rPr>
          <w:b/>
          <w:i/>
          <w:sz w:val="28"/>
          <w:szCs w:val="28"/>
          <w:lang w:val="sr-RS"/>
        </w:rPr>
        <w:t>мора реално да их планира, у складу са законом, односно да пође од њиховог извршења у овој години, као и планираних политика у наредном периоду.</w:t>
      </w:r>
    </w:p>
    <w:p>
      <w:pPr>
        <w:pStyle w:val="Normal"/>
        <w:jc w:val="both"/>
        <w:rPr>
          <w:b/>
          <w:i/>
          <w:i/>
          <w:sz w:val="28"/>
          <w:szCs w:val="28"/>
          <w:lang w:val="sr-RS"/>
        </w:rPr>
      </w:pPr>
      <w:r>
        <w:rPr>
          <w:b/>
          <w:i/>
          <w:sz w:val="28"/>
          <w:szCs w:val="28"/>
          <w:lang w:val="sr-RS"/>
        </w:rPr>
      </w:r>
    </w:p>
    <w:p>
      <w:pPr>
        <w:pStyle w:val="Normal"/>
        <w:jc w:val="both"/>
        <w:rPr>
          <w:b/>
          <w:i/>
          <w:i/>
          <w:sz w:val="28"/>
          <w:szCs w:val="28"/>
        </w:rPr>
      </w:pPr>
      <w:r>
        <w:rPr>
          <w:b/>
          <w:i/>
          <w:sz w:val="28"/>
          <w:szCs w:val="28"/>
        </w:rPr>
        <w:t>1. Законско уређење плата</w:t>
      </w:r>
    </w:p>
    <w:p>
      <w:pPr>
        <w:pStyle w:val="Normal"/>
        <w:jc w:val="both"/>
        <w:rPr>
          <w:i/>
          <w:i/>
          <w:iCs/>
          <w:sz w:val="28"/>
          <w:szCs w:val="28"/>
          <w:lang w:val="sr-RS"/>
        </w:rPr>
      </w:pPr>
      <w:r>
        <w:rPr>
          <w:i/>
          <w:sz w:val="28"/>
          <w:szCs w:val="28"/>
        </w:rPr>
        <w:t xml:space="preserve">Плате изабраних, постављених и запослених лица код корисника буџета локалне власти уређенe су: </w:t>
      </w:r>
      <w:r>
        <w:rPr>
          <w:rFonts w:eastAsia="Symbol" w:cs="Symbol" w:ascii="Symbol" w:hAnsi="Symbol"/>
          <w:i/>
          <w:sz w:val="28"/>
          <w:szCs w:val="28"/>
        </w:rPr>
        <w:sym w:font="Symbol" w:char="f0b7"/>
      </w:r>
      <w:r>
        <w:rPr>
          <w:i/>
          <w:sz w:val="28"/>
          <w:szCs w:val="28"/>
        </w:rPr>
        <w:t xml:space="preserve"> Законом о платама у државним органима и јавним службама („Службени гласник РС”,</w:t>
      </w:r>
      <w:r>
        <w:rPr>
          <w:sz w:val="28"/>
          <w:szCs w:val="28"/>
        </w:rPr>
        <w:t xml:space="preserve"> </w:t>
      </w:r>
      <w:r>
        <w:rPr>
          <w:i/>
          <w:iCs/>
          <w:sz w:val="28"/>
          <w:szCs w:val="28"/>
        </w:rPr>
        <w:t xml:space="preserve">бр. 34/01, 62/06...19/25); </w:t>
      </w:r>
      <w:r>
        <w:rPr>
          <w:rFonts w:eastAsia="Symbol" w:cs="Symbol" w:ascii="Symbol" w:hAnsi="Symbol"/>
          <w:i/>
          <w:iCs/>
          <w:sz w:val="28"/>
          <w:szCs w:val="28"/>
        </w:rPr>
        <w:sym w:font="Symbol" w:char="f0b7"/>
      </w:r>
      <w:r>
        <w:rPr>
          <w:i/>
          <w:iCs/>
          <w:sz w:val="28"/>
          <w:szCs w:val="28"/>
        </w:rPr>
        <w:t xml:space="preserve"> Законом о запосленима у аутономним покрајинама и јединицама локалне самоуправе („Службени гласник РС”, бр. 21/16, 113/17, 113/17-др. закон, 95/18, 114/21 и 92/23) </w:t>
      </w:r>
      <w:r>
        <w:rPr>
          <w:rFonts w:eastAsia="Symbol" w:cs="Symbol" w:ascii="Symbol" w:hAnsi="Symbol"/>
          <w:i/>
          <w:iCs/>
          <w:sz w:val="28"/>
          <w:szCs w:val="28"/>
        </w:rPr>
        <w:sym w:font="Symbol" w:char="f0b7"/>
      </w:r>
      <w:r>
        <w:rPr>
          <w:i/>
          <w:iCs/>
          <w:sz w:val="28"/>
          <w:szCs w:val="28"/>
        </w:rPr>
        <w:t xml:space="preserve">Уредбом о коефицијентима за обрачун и исплату плата именованих и постављених лица и запослених у државним органима („Службени гласник РС”, бр. 44/08 - пречишћен текст, 2/12, 113/17-др.закон, 23/18 и 39/25); </w:t>
      </w:r>
      <w:r>
        <w:rPr>
          <w:rFonts w:eastAsia="Symbol" w:cs="Symbol" w:ascii="Symbol" w:hAnsi="Symbol"/>
          <w:i/>
          <w:iCs/>
          <w:sz w:val="28"/>
          <w:szCs w:val="28"/>
        </w:rPr>
        <w:sym w:font="Symbol" w:char="f0b7"/>
      </w:r>
      <w:r>
        <w:rPr>
          <w:i/>
          <w:iCs/>
          <w:sz w:val="28"/>
          <w:szCs w:val="28"/>
        </w:rPr>
        <w:t xml:space="preserve">Уредбом о коефицијентима за обрачун и исплату плата запослених у јавним службама („Службени гласник РС”, бр. 44/01... 101/24, 5/25, 12/25, 13/25 и 17/25); </w:t>
      </w:r>
      <w:r>
        <w:rPr>
          <w:rFonts w:eastAsia="Symbol" w:cs="Symbol" w:ascii="Symbol" w:hAnsi="Symbol"/>
          <w:i/>
          <w:iCs/>
          <w:sz w:val="28"/>
          <w:szCs w:val="28"/>
        </w:rPr>
        <w:sym w:font="Symbol" w:char="f0b7"/>
      </w:r>
      <w:r>
        <w:rPr>
          <w:i/>
          <w:iCs/>
          <w:sz w:val="28"/>
          <w:szCs w:val="28"/>
        </w:rPr>
        <w:t>Другим релевантним прописима који уређују елементе за обрачун и исплату плата.</w:t>
      </w:r>
    </w:p>
    <w:p>
      <w:pPr>
        <w:pStyle w:val="Normal"/>
        <w:jc w:val="both"/>
        <w:rPr>
          <w:i/>
          <w:i/>
          <w:sz w:val="28"/>
          <w:szCs w:val="28"/>
          <w:lang w:val="sr-RS"/>
        </w:rPr>
      </w:pPr>
      <w:r>
        <w:rPr>
          <w:i/>
          <w:sz w:val="28"/>
          <w:szCs w:val="28"/>
          <w:lang w:val="sr-RS"/>
        </w:rPr>
      </w:r>
    </w:p>
    <w:p>
      <w:pPr>
        <w:pStyle w:val="Normal"/>
        <w:jc w:val="both"/>
        <w:rPr>
          <w:b/>
          <w:i/>
          <w:i/>
          <w:sz w:val="28"/>
          <w:szCs w:val="28"/>
        </w:rPr>
      </w:pPr>
      <w:r>
        <w:rPr>
          <w:b/>
          <w:i/>
          <w:sz w:val="28"/>
          <w:szCs w:val="28"/>
        </w:rPr>
        <w:t>2. Законом уређена основица за обрачун плата</w:t>
      </w:r>
    </w:p>
    <w:p>
      <w:pPr>
        <w:pStyle w:val="Normal"/>
        <w:jc w:val="both"/>
        <w:rPr>
          <w:iCs/>
          <w:sz w:val="28"/>
          <w:szCs w:val="28"/>
          <w:lang w:val="sr-RS"/>
        </w:rPr>
      </w:pPr>
      <w:r>
        <w:rPr>
          <w:iCs/>
          <w:sz w:val="28"/>
          <w:szCs w:val="28"/>
        </w:rPr>
        <w:t>Приликом обрачуна и исплате плата запослених код корисника буџета локалне власти примењују се основице утврђене закључцима Владе Републике Србије.</w:t>
      </w:r>
    </w:p>
    <w:p>
      <w:pPr>
        <w:pStyle w:val="Normal"/>
        <w:rPr>
          <w:sz w:val="28"/>
          <w:szCs w:val="28"/>
          <w:lang w:val="sr-RS"/>
        </w:rPr>
      </w:pPr>
      <w:r>
        <w:rPr>
          <w:sz w:val="28"/>
          <w:szCs w:val="28"/>
          <w:lang w:val="sr-RS"/>
        </w:rPr>
      </w:r>
    </w:p>
    <w:p>
      <w:pPr>
        <w:pStyle w:val="Normal"/>
        <w:jc w:val="both"/>
        <w:rPr>
          <w:b/>
          <w:i/>
          <w:i/>
          <w:sz w:val="28"/>
          <w:szCs w:val="28"/>
        </w:rPr>
      </w:pPr>
      <w:r>
        <w:rPr>
          <w:b/>
          <w:i/>
          <w:sz w:val="28"/>
          <w:szCs w:val="28"/>
        </w:rPr>
        <w:t>3. Планирање масе средстава за плате у одлукама о буџету за 202</w:t>
      </w:r>
      <w:r>
        <w:rPr>
          <w:b/>
          <w:i/>
          <w:sz w:val="28"/>
          <w:szCs w:val="28"/>
          <w:lang w:val="sr-RS"/>
        </w:rPr>
        <w:t>6</w:t>
      </w:r>
      <w:r>
        <w:rPr>
          <w:b/>
          <w:i/>
          <w:sz w:val="28"/>
          <w:szCs w:val="28"/>
        </w:rPr>
        <w:t>. годину</w:t>
      </w:r>
    </w:p>
    <w:p>
      <w:pPr>
        <w:pStyle w:val="Normal"/>
        <w:jc w:val="both"/>
        <w:rPr>
          <w:i/>
          <w:i/>
          <w:iCs/>
          <w:sz w:val="28"/>
          <w:szCs w:val="28"/>
          <w:lang w:val="sr-RS"/>
        </w:rPr>
      </w:pPr>
      <w:r>
        <w:rPr>
          <w:i/>
          <w:iCs/>
          <w:sz w:val="28"/>
          <w:szCs w:val="28"/>
        </w:rPr>
        <w:t>Локална власт у 2026. години планира укупна средства потребна за обрачун и исплату плата запослених које се финансирају из буџета локалне власти, тако да масу средстава за исплату дванаест месечних плата планирају полазећи од нивоа плата исплаћених за септембар 2025. године, уз могућност увећања плата у складу са законом којим се уређује буџет. Приликом планирања укупне масе средстава за плате у буџету јединице локалне власти, евентуална индексација, предвиђена законом којим се уређује буџет, примењује се на 11 месечних плата у години, а имајући у виду рокове за исплату плата који су дефинисани посебним колективним уговорима, као и да би иста била могућа почев од обрачуна и исплате плате за јануар 2026. године. Математички исказано, маса за плате код свих буџетских корисника се утврђује на следећи начин:</w:t>
      </w:r>
    </w:p>
    <w:p>
      <w:pPr>
        <w:pStyle w:val="Normal"/>
        <w:jc w:val="both"/>
        <w:rPr>
          <w:b/>
          <w:bCs/>
          <w:i/>
          <w:i/>
          <w:iCs/>
          <w:sz w:val="28"/>
          <w:szCs w:val="28"/>
          <w:lang w:val="sr-RS"/>
        </w:rPr>
      </w:pPr>
      <w:r>
        <w:rPr>
          <w:b/>
          <w:bCs/>
          <w:i/>
          <w:iCs/>
          <w:sz w:val="28"/>
          <w:szCs w:val="28"/>
          <w:lang w:val="sr-RS"/>
        </w:rPr>
      </w:r>
    </w:p>
    <w:p>
      <w:pPr>
        <w:pStyle w:val="Normal"/>
        <w:jc w:val="both"/>
        <w:rPr>
          <w:b/>
          <w:bCs/>
          <w:i/>
          <w:i/>
          <w:iCs/>
          <w:sz w:val="28"/>
          <w:szCs w:val="28"/>
          <w:lang w:val="sr-RS"/>
        </w:rPr>
      </w:pPr>
      <w:bookmarkStart w:id="338" w:name="_Hlk214398432"/>
      <w:r>
        <w:rPr>
          <w:b/>
          <w:bCs/>
          <w:i/>
          <w:iCs/>
          <w:sz w:val="28"/>
          <w:szCs w:val="28"/>
        </w:rPr>
        <w:t>Укупна маса за плате = маса средстава исплаћена за септембар 2025. године + маса средстава исплаћена за септембар 2025. године * прописани % увећања плата * 11 месеци</w:t>
      </w:r>
    </w:p>
    <w:p>
      <w:pPr>
        <w:pStyle w:val="Normal"/>
        <w:jc w:val="both"/>
        <w:rPr>
          <w:i/>
          <w:i/>
          <w:iCs/>
          <w:sz w:val="28"/>
          <w:szCs w:val="28"/>
          <w:lang w:val="sr-RS"/>
        </w:rPr>
      </w:pPr>
      <w:r>
        <w:rPr>
          <w:i/>
          <w:iCs/>
          <w:sz w:val="28"/>
          <w:szCs w:val="28"/>
          <w:lang w:val="sr-RS"/>
        </w:rPr>
      </w:r>
    </w:p>
    <w:p>
      <w:pPr>
        <w:pStyle w:val="Normal"/>
        <w:jc w:val="both"/>
        <w:rPr>
          <w:i/>
          <w:i/>
          <w:iCs/>
          <w:sz w:val="28"/>
          <w:szCs w:val="28"/>
          <w:lang w:val="sr-RS"/>
        </w:rPr>
      </w:pPr>
      <w:r>
        <w:rPr>
          <w:i/>
          <w:iCs/>
          <w:sz w:val="28"/>
          <w:szCs w:val="28"/>
        </w:rPr>
        <w:t xml:space="preserve">Напомена: Проценат увећања плата за 2026. годину износи </w:t>
      </w:r>
      <w:r>
        <w:rPr>
          <w:b/>
          <w:bCs/>
          <w:i/>
          <w:iCs/>
          <w:sz w:val="28"/>
          <w:szCs w:val="28"/>
        </w:rPr>
        <w:t>5,1%</w:t>
      </w:r>
      <w:r>
        <w:rPr>
          <w:i/>
          <w:iCs/>
          <w:sz w:val="28"/>
          <w:szCs w:val="28"/>
        </w:rPr>
        <w:t xml:space="preserve"> за запослене код свих буџетских корисника. </w:t>
      </w:r>
      <w:bookmarkEnd w:id="338"/>
    </w:p>
    <w:p>
      <w:pPr>
        <w:pStyle w:val="Normal"/>
        <w:jc w:val="both"/>
        <w:rPr>
          <w:i/>
          <w:i/>
          <w:iCs/>
          <w:sz w:val="28"/>
          <w:szCs w:val="28"/>
          <w:lang w:val="sr-RS"/>
        </w:rPr>
      </w:pPr>
      <w:r>
        <w:rPr>
          <w:i/>
          <w:iCs/>
          <w:sz w:val="28"/>
          <w:szCs w:val="28"/>
          <w:lang w:val="sr-RS"/>
        </w:rPr>
      </w:r>
    </w:p>
    <w:p>
      <w:pPr>
        <w:pStyle w:val="Normal"/>
        <w:jc w:val="both"/>
        <w:rPr>
          <w:i/>
          <w:i/>
          <w:iCs/>
          <w:sz w:val="28"/>
          <w:szCs w:val="28"/>
          <w:lang w:val="sr-RS"/>
        </w:rPr>
      </w:pPr>
      <w:r>
        <w:rPr>
          <w:i/>
          <w:iCs/>
          <w:sz w:val="28"/>
          <w:szCs w:val="28"/>
        </w:rPr>
        <w:t xml:space="preserve">Уколико маса средстава која је утврђена на претходно наведени начин није довољна за обрачун и исплату плата запослених код корисника буџета локалне власти, иста се може увећати у току 2026. године, а након претходно добијене писане сагласности министарства надлежног за послове финансија. </w:t>
      </w:r>
      <w:r>
        <w:rPr>
          <w:b/>
          <w:bCs/>
          <w:i/>
          <w:iCs/>
          <w:sz w:val="28"/>
          <w:szCs w:val="28"/>
        </w:rPr>
        <w:t>На основу горе наведене формуле средства за плате се планирају на бази броја запослених којима је исплаћена плата за септембар 2025. године, а не систематизованог броја запослених</w:t>
      </w:r>
      <w:r>
        <w:rPr>
          <w:i/>
          <w:iCs/>
          <w:sz w:val="28"/>
          <w:szCs w:val="28"/>
        </w:rPr>
        <w:t>. Приликом утврђивања укупне масе за плате потребно је посматрати све изворе финансирања, а не само извор финансирања 01. Табела у оквиру које је утврђен износ који представља лимит за планирање укупне масе за плате за 2026. годину, биће достављена свакој јединици локалне самоуправе уз ово Упутство. Уколико локална власт не планира у својим одлукама о буџету за 2026. годину и не извршава укупна средства за обрачун и исплату плата на начин како је наведено, 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док се висина средстава за плате не усклади са наведеним ограничењем. Као и у претходним годинама, и у буџетској 2026. години не треба планирати обрачун и исплату поклона у новцу, божићних, годишњих и других врста награда, бонуса и примања запослених ради побољшања материјалног положаја и побољшања услова рада предвиђених посебним и појединачним колективним уговорима, за директне и индиректне кориснике буџетских средстава локалне власти, као и друга примања из члана 120. став 1. тачка 4. Закона о раду („Службени гласник РС”, бр. 24/05, 61/05, 54/09, 32/13, 75/14, 13/17УС, 113/17 и 95/18-аутентично тумачење) осим јубиларних награда за запослене који то право стичу у 2026. години и новчаних честитки за децу запослених.</w:t>
      </w:r>
    </w:p>
    <w:p>
      <w:pPr>
        <w:pStyle w:val="Normal"/>
        <w:jc w:val="both"/>
        <w:rPr>
          <w:i/>
          <w:i/>
          <w:iCs/>
          <w:sz w:val="28"/>
          <w:szCs w:val="28"/>
          <w:lang w:val="sr-RS"/>
        </w:rPr>
      </w:pPr>
      <w:r>
        <w:rPr>
          <w:i/>
          <w:iCs/>
          <w:sz w:val="28"/>
          <w:szCs w:val="28"/>
        </w:rPr>
        <w:t xml:space="preserve">Такође, у 2026. години не могу се исплаћивати запосленима код директних и индиректних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 Остале економске класификације у оквиру групе 41 - Расходи за запослене, планирати крајње рестриктивно, уз уважавање права запослених која су уређена релевантним прописима и респектовање принципа одговорног фискалног управљања. </w:t>
      </w:r>
    </w:p>
    <w:p>
      <w:pPr>
        <w:pStyle w:val="Normal"/>
        <w:jc w:val="both"/>
        <w:rPr>
          <w:b/>
          <w:bCs/>
          <w:i/>
          <w:i/>
          <w:iCs/>
          <w:sz w:val="28"/>
          <w:szCs w:val="28"/>
          <w:lang w:val="sr-RS"/>
        </w:rPr>
      </w:pPr>
      <w:r>
        <w:rPr>
          <w:i/>
          <w:iCs/>
          <w:sz w:val="28"/>
          <w:szCs w:val="28"/>
        </w:rPr>
        <w:t xml:space="preserve">Локална власт је у обавези да у одлуци о буџету за 2026. годину, у делу буџета који садржи норме битне за извршење буџета, у посебној одредби искаже </w:t>
      </w:r>
      <w:r>
        <w:rPr>
          <w:b/>
          <w:bCs/>
          <w:i/>
          <w:iCs/>
          <w:sz w:val="28"/>
          <w:szCs w:val="28"/>
        </w:rPr>
        <w:t>број запослених</w:t>
      </w:r>
      <w:r>
        <w:rPr>
          <w:i/>
          <w:iCs/>
          <w:sz w:val="28"/>
          <w:szCs w:val="28"/>
        </w:rPr>
        <w:t xml:space="preserve"> </w:t>
      </w:r>
      <w:r>
        <w:rPr>
          <w:b/>
          <w:bCs/>
          <w:i/>
          <w:iCs/>
          <w:sz w:val="28"/>
          <w:szCs w:val="28"/>
        </w:rPr>
        <w:t>на неодређено и одређено време, за које су у буџету локалне власти обезбеђена средства</w:t>
      </w:r>
      <w:r>
        <w:rPr>
          <w:i/>
          <w:iCs/>
          <w:sz w:val="28"/>
          <w:szCs w:val="28"/>
        </w:rPr>
        <w:t>.</w:t>
      </w:r>
    </w:p>
    <w:p>
      <w:pPr>
        <w:pStyle w:val="Normal"/>
        <w:jc w:val="both"/>
        <w:rPr>
          <w:i/>
          <w:i/>
          <w:sz w:val="28"/>
          <w:szCs w:val="28"/>
          <w:lang w:val="sr-RS"/>
        </w:rPr>
      </w:pPr>
      <w:r>
        <w:rPr>
          <w:i/>
          <w:sz w:val="28"/>
          <w:szCs w:val="28"/>
          <w:lang w:val="sr-RS"/>
        </w:rPr>
      </w:r>
    </w:p>
    <w:p>
      <w:pPr>
        <w:pStyle w:val="Normal"/>
        <w:jc w:val="both"/>
        <w:rPr>
          <w:b/>
          <w:iCs/>
          <w:sz w:val="28"/>
          <w:szCs w:val="28"/>
        </w:rPr>
      </w:pPr>
      <w:r>
        <w:rPr>
          <w:b/>
          <w:iCs/>
          <w:sz w:val="28"/>
          <w:szCs w:val="28"/>
        </w:rPr>
        <w:t>Група конта 42 - Коришћење услуга и роба</w:t>
      </w:r>
    </w:p>
    <w:p>
      <w:pPr>
        <w:pStyle w:val="Normal"/>
        <w:jc w:val="both"/>
        <w:rPr>
          <w:iCs/>
          <w:sz w:val="28"/>
          <w:szCs w:val="28"/>
          <w:lang w:val="sr-RS"/>
        </w:rPr>
      </w:pPr>
      <w:r>
        <w:rPr>
          <w:iCs/>
          <w:sz w:val="28"/>
          <w:szCs w:val="28"/>
        </w:rPr>
        <w:t>У оквиру групе конта која се односе на куповину роба и услуга, потребно је реално планирати средства за ове намене у 2026. години, водећи рачуна да се не угрози извршавање сталних трошкова (421 - Стални трошкови). 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уговори о привремено повременим пословима и др). 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 („Службени гласник РСˮ, бр. 119/12, 68/15, 113/17, 91/19, 44/21, 130/21, 120/21- др. закон и 138/22).</w:t>
      </w:r>
    </w:p>
    <w:p>
      <w:pPr>
        <w:pStyle w:val="Normal"/>
        <w:jc w:val="both"/>
        <w:rPr>
          <w:i/>
          <w:i/>
          <w:sz w:val="28"/>
          <w:szCs w:val="28"/>
          <w:lang w:val="sr-RS"/>
        </w:rPr>
      </w:pPr>
      <w:r>
        <w:rPr>
          <w:i/>
          <w:sz w:val="28"/>
          <w:szCs w:val="28"/>
          <w:lang w:val="sr-RS"/>
        </w:rPr>
      </w:r>
    </w:p>
    <w:p>
      <w:pPr>
        <w:pStyle w:val="Normal"/>
        <w:jc w:val="both"/>
        <w:rPr>
          <w:b/>
          <w:i/>
          <w:i/>
          <w:sz w:val="28"/>
          <w:szCs w:val="28"/>
        </w:rPr>
      </w:pPr>
      <w:r>
        <w:rPr>
          <w:b/>
          <w:i/>
          <w:sz w:val="28"/>
          <w:szCs w:val="28"/>
        </w:rPr>
        <w:t>Група конта 45 - Субвенције</w:t>
      </w:r>
    </w:p>
    <w:p>
      <w:pPr>
        <w:pStyle w:val="Normal"/>
        <w:jc w:val="both"/>
        <w:rPr>
          <w:i/>
          <w:i/>
          <w:sz w:val="28"/>
          <w:szCs w:val="28"/>
          <w:lang w:val="sr-RS"/>
        </w:rPr>
      </w:pPr>
      <w:r>
        <w:rPr>
          <w:i/>
          <w:sz w:val="28"/>
          <w:szCs w:val="28"/>
        </w:rPr>
        <w:t>У оквиру субвенција неопходно је преиспитати све програме по основу којих се додељују субвенције. Приликом планирања средстава за субвенције и њихових намена посебно треба имати у виду све прописе који се тичу државне помоћи. Приликом планирања субвенција за јавна комунална предузећа јединице локалне самоуправе треба да воде рачуна да износ буде реалан и у складу са потребама за обављање јавних комуналних услуга, уз јасно дефинисану сврху субвенције – да ли се средства користе за одржавање приступачних цена за кориснике, унапређење услуга или подстицање инвестиција. При томе је важно да приликом планирања субвенција јединице локалне самоуправе имају у виду послове за чије обављање је предузеће основано, тако да исте буду планиране уз јасно дефинисане индикаторе и рокове за праћење утрошка средстава. Такође, приликом планирања треба узети у обзир све релевантне факторе везане за пословање предузећа, као што су зараде и доприноси запослених, трошкови енергије и горива, одржавања инфраструктуре, материјала и опреме, планиране инвестиције, обавезе по кредитима и уговорима, сезонске или временски променљиве трошкове, као и очекиване приходе од пружених услуга, како би се избегло прецењивање или подцењивање износа и осигурало ефикасно и транспарентно коришћење буџетских средстава.</w:t>
      </w:r>
    </w:p>
    <w:p>
      <w:pPr>
        <w:pStyle w:val="Normal"/>
        <w:jc w:val="both"/>
        <w:rPr>
          <w:i/>
          <w:i/>
          <w:sz w:val="28"/>
          <w:szCs w:val="28"/>
          <w:lang w:val="sr-RS"/>
        </w:rPr>
      </w:pPr>
      <w:r>
        <w:rPr>
          <w:i/>
          <w:sz w:val="28"/>
          <w:szCs w:val="28"/>
          <w:lang w:val="sr-RS"/>
        </w:rPr>
      </w:r>
    </w:p>
    <w:p>
      <w:pPr>
        <w:pStyle w:val="Normal"/>
        <w:jc w:val="both"/>
        <w:rPr>
          <w:b/>
          <w:i/>
          <w:i/>
          <w:sz w:val="28"/>
          <w:szCs w:val="28"/>
        </w:rPr>
      </w:pPr>
      <w:r>
        <w:rPr>
          <w:b/>
          <w:i/>
          <w:sz w:val="28"/>
          <w:szCs w:val="28"/>
        </w:rPr>
        <w:t>Група конта 48 - Остали расходи</w:t>
      </w:r>
    </w:p>
    <w:p>
      <w:pPr>
        <w:pStyle w:val="Normal"/>
        <w:rPr>
          <w:i/>
          <w:i/>
          <w:iCs/>
          <w:sz w:val="28"/>
          <w:szCs w:val="28"/>
          <w:lang w:val="sr-RS"/>
        </w:rPr>
      </w:pPr>
      <w:r>
        <w:rPr>
          <w:i/>
          <w:iCs/>
          <w:sz w:val="28"/>
          <w:szCs w:val="28"/>
        </w:rPr>
        <w:t>Приликом планирања наведених расхода, треба имати у виду да се услед недовољног износа средстава на економској класификацији 483 - Новчане казне и пенали по решењу судова, иста повећава смањењем осталих економских класификација, на којима је, због наведеног, неопходно прилагодити преузимање обавеза, како би се на тај начин спречило стварање доцњи</w:t>
      </w:r>
    </w:p>
    <w:p>
      <w:pPr>
        <w:pStyle w:val="Normal"/>
        <w:rPr>
          <w:i/>
          <w:i/>
          <w:iCs/>
          <w:sz w:val="28"/>
          <w:szCs w:val="28"/>
          <w:lang w:val="sr-RS"/>
        </w:rPr>
      </w:pPr>
      <w:r>
        <w:rPr>
          <w:i/>
          <w:iCs/>
          <w:sz w:val="28"/>
          <w:szCs w:val="28"/>
          <w:lang w:val="sr-RS"/>
        </w:rPr>
      </w:r>
    </w:p>
    <w:p>
      <w:pPr>
        <w:pStyle w:val="Normal"/>
        <w:rPr>
          <w:i/>
          <w:i/>
          <w:iCs/>
          <w:sz w:val="28"/>
          <w:szCs w:val="28"/>
          <w:lang w:val="sr-Latn-RS"/>
        </w:rPr>
      </w:pPr>
      <w:r>
        <w:rPr>
          <w:b/>
          <w:bCs/>
          <w:i/>
          <w:iCs/>
          <w:sz w:val="28"/>
          <w:szCs w:val="28"/>
          <w:lang w:val="sr-Latn-RS"/>
        </w:rPr>
        <w:t xml:space="preserve">6. Финансијска помоћ Европске уније (ИПА I и ИПА II1) </w:t>
      </w:r>
    </w:p>
    <w:p>
      <w:pPr>
        <w:pStyle w:val="Normal"/>
        <w:jc w:val="both"/>
        <w:rPr>
          <w:i/>
          <w:i/>
          <w:iCs/>
          <w:sz w:val="28"/>
          <w:szCs w:val="28"/>
          <w:lang w:val="sr-Latn-RS"/>
        </w:rPr>
      </w:pPr>
      <w:r>
        <w:rPr>
          <w:i/>
          <w:iCs/>
          <w:sz w:val="28"/>
          <w:szCs w:val="28"/>
          <w:lang w:val="sr-Latn-RS"/>
        </w:rPr>
        <w:t xml:space="preserve">Један од извора финансирања пројеката на локалном нивоу је и финансијска помоћ Европске уније, у оквиру спровођења помоћи према правилима инструмента претприступне помоћи (ИПА II и ИПА III), а у складу са Законом о потврђивању Оквирног споразума између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(ИПА II) (''Службени гласник РС – међународни уговори'' број: 19/14) и Законом о потврђивању Оквирног споразума о финансијском партнерству између Републике Србије и Европске комисије о правилима за спровођење финансијске помоћи Европске уније Републици Србији у оквиру инструмента за претприступну помоћ (ИПА III) („Службени гласник РС – међународни уговори”, број: 6/22 од 12. децембра 2022. године) </w:t>
      </w:r>
    </w:p>
    <w:p>
      <w:pPr>
        <w:pStyle w:val="Normal"/>
        <w:jc w:val="both"/>
        <w:rPr>
          <w:i/>
          <w:i/>
          <w:iCs/>
          <w:sz w:val="28"/>
          <w:szCs w:val="28"/>
          <w:lang w:val="sr-Latn-RS"/>
        </w:rPr>
      </w:pPr>
      <w:r>
        <w:rPr>
          <w:i/>
          <w:iCs/>
          <w:sz w:val="28"/>
          <w:szCs w:val="28"/>
          <w:lang w:val="sr-Latn-RS"/>
        </w:rPr>
        <w:t xml:space="preserve">На основу финансијских споразума потписаних између Владе Републике Србије и Европске комисије, који се односе на спровођење пројеката претприступне помоћи неопходно је обезбедити одговарајући износ средства националног учешћа. </w:t>
      </w:r>
    </w:p>
    <w:p>
      <w:pPr>
        <w:pStyle w:val="Normal"/>
        <w:jc w:val="both"/>
        <w:rPr>
          <w:i/>
          <w:i/>
          <w:iCs/>
          <w:sz w:val="28"/>
          <w:szCs w:val="28"/>
          <w:lang w:val="sr-Latn-RS"/>
        </w:rPr>
      </w:pPr>
      <w:r>
        <w:rPr>
          <w:i/>
          <w:iCs/>
          <w:sz w:val="28"/>
          <w:szCs w:val="28"/>
          <w:lang w:val="sr-Latn-RS"/>
        </w:rPr>
        <w:t xml:space="preserve">Директни корисници средстава буџета локалне власти, у случају када су крајњи корисници програма и пројекта инструмента претприступне помоћи, дужни су да обезбеде износ националног учешћа према правилима уговарања и набавки које дефинише и објављује Европска комисија за спровођење спољних акција (тзв. PRAG правила2). Процедуру јавних набавки спроводи Тело за уговарање3 (Министарство финансија - Сектор за уговарање и финансирање програма из средстава ЕУ). </w:t>
      </w:r>
    </w:p>
    <w:p>
      <w:pPr>
        <w:pStyle w:val="Normal"/>
        <w:jc w:val="both"/>
        <w:rPr>
          <w:i/>
          <w:i/>
          <w:iCs/>
          <w:sz w:val="28"/>
          <w:szCs w:val="28"/>
          <w:lang w:val="sr-Latn-RS"/>
        </w:rPr>
      </w:pPr>
      <w:r>
        <w:rPr>
          <w:i/>
          <w:iCs/>
          <w:sz w:val="28"/>
          <w:szCs w:val="28"/>
          <w:lang w:val="sr-Latn-RS"/>
        </w:rPr>
        <w:t xml:space="preserve">У моменту планирања финансијских средстава намењених за национално учешће на локалном нивоу у оквиру одобрених пројеката и програма, потребно је поштовати следећа правила: </w:t>
      </w:r>
    </w:p>
    <w:p>
      <w:pPr>
        <w:pStyle w:val="Normal"/>
        <w:jc w:val="both"/>
        <w:rPr>
          <w:i/>
          <w:i/>
          <w:iCs/>
          <w:sz w:val="28"/>
          <w:szCs w:val="28"/>
          <w:lang w:val="sr-Latn-RS"/>
        </w:rPr>
      </w:pPr>
      <w:r>
        <w:rPr>
          <w:i/>
          <w:iCs/>
          <w:sz w:val="28"/>
          <w:szCs w:val="28"/>
          <w:lang w:val="sr-Latn-RS"/>
        </w:rPr>
        <w:t xml:space="preserve"> </w:t>
      </w:r>
      <w:r>
        <w:rPr>
          <w:b/>
          <w:bCs/>
          <w:i/>
          <w:iCs/>
          <w:sz w:val="28"/>
          <w:szCs w:val="28"/>
          <w:lang w:val="sr-Latn-RS"/>
        </w:rPr>
        <w:t>Корисници буџетских средстава одговорни су за правилно планирање, у складу са предвиђеном динамиком спровођења, износа расхода и/или издатака за финансирање учешћа Републике Србије у спровођењу финансијске помоћи ЕУ</w:t>
      </w:r>
      <w:r>
        <w:rPr>
          <w:i/>
          <w:iCs/>
          <w:sz w:val="28"/>
          <w:szCs w:val="28"/>
          <w:lang w:val="sr-Latn-RS"/>
        </w:rPr>
        <w:t xml:space="preserve">4; </w:t>
      </w:r>
    </w:p>
    <w:p>
      <w:pPr>
        <w:pStyle w:val="Normal"/>
        <w:jc w:val="both"/>
        <w:rPr>
          <w:i/>
          <w:i/>
          <w:iCs/>
          <w:sz w:val="28"/>
          <w:szCs w:val="28"/>
          <w:lang w:val="sr-RS"/>
        </w:rPr>
      </w:pPr>
      <w:r>
        <w:rPr>
          <w:i/>
          <w:iCs/>
          <w:sz w:val="28"/>
          <w:szCs w:val="28"/>
          <w:lang w:val="sr-Latn-RS"/>
        </w:rPr>
        <w:t xml:space="preserve"> </w:t>
      </w:r>
      <w:r>
        <w:rPr>
          <w:b/>
          <w:bCs/>
          <w:i/>
          <w:iCs/>
          <w:sz w:val="28"/>
          <w:szCs w:val="28"/>
          <w:lang w:val="sr-Latn-RS"/>
        </w:rPr>
        <w:t>Буџетски корисници, који не испланирају довољан износ средстава за финансирање учешћа Републике Србије у спровођењу финансијске помоћи ЕУ, морају да изврше преусмеравање средстава са других својих апропријација и/или програма</w:t>
      </w:r>
      <w:r>
        <w:rPr>
          <w:i/>
          <w:iCs/>
          <w:sz w:val="28"/>
          <w:szCs w:val="28"/>
          <w:lang w:val="sr-Latn-RS"/>
        </w:rPr>
        <w:t xml:space="preserve">5; </w:t>
      </w:r>
    </w:p>
    <w:p>
      <w:pPr>
        <w:pStyle w:val="Normal"/>
        <w:jc w:val="both"/>
        <w:rPr>
          <w:i/>
          <w:i/>
          <w:iCs/>
          <w:sz w:val="28"/>
          <w:szCs w:val="28"/>
          <w:lang w:val="sr-Latn-RS"/>
        </w:rPr>
      </w:pPr>
      <w:r>
        <w:rPr>
          <w:b/>
          <w:bCs/>
          <w:i/>
          <w:iCs/>
          <w:sz w:val="28"/>
          <w:szCs w:val="28"/>
          <w:lang w:val="sr-Latn-RS"/>
        </w:rPr>
        <w:t xml:space="preserve">Средства планирана за финансирање учешћа Републике Србије у спровођењу финансијске помоћи ЕУ не могу се користити у друге сврхе; </w:t>
      </w:r>
    </w:p>
    <w:p>
      <w:pPr>
        <w:pStyle w:val="Normal"/>
        <w:jc w:val="both"/>
        <w:rPr>
          <w:i/>
          <w:i/>
          <w:iCs/>
          <w:sz w:val="28"/>
          <w:szCs w:val="28"/>
          <w:lang w:val="sr-Latn-RS"/>
        </w:rPr>
      </w:pPr>
      <w:r>
        <w:rPr>
          <w:i/>
          <w:iCs/>
          <w:sz w:val="28"/>
          <w:szCs w:val="28"/>
          <w:lang w:val="sr-Latn-RS"/>
        </w:rPr>
        <w:t xml:space="preserve"> </w:t>
      </w:r>
      <w:r>
        <w:rPr>
          <w:i/>
          <w:iCs/>
          <w:sz w:val="28"/>
          <w:szCs w:val="28"/>
          <w:lang w:val="sr-Latn-RS"/>
        </w:rPr>
        <w:t xml:space="preserve">Имајући у виду да је реализација годишњег ИПА програма вишегодишња и да се не подудара са националном буџетском годином, потребно је распоредити опредељена средства из једне године буџета ЕУ у неколико година буџета Републике Србије у складу са Планом јавних набавки6 и уговором дефинисаном динамиком спровођења7; </w:t>
      </w:r>
    </w:p>
    <w:p>
      <w:pPr>
        <w:pStyle w:val="Normal"/>
        <w:jc w:val="both"/>
        <w:rPr>
          <w:i/>
          <w:i/>
          <w:iCs/>
          <w:sz w:val="28"/>
          <w:szCs w:val="28"/>
          <w:lang w:val="sr-Latn-RS"/>
        </w:rPr>
      </w:pPr>
      <w:r>
        <w:rPr>
          <w:i/>
          <w:iCs/>
          <w:sz w:val="28"/>
          <w:szCs w:val="28"/>
          <w:lang w:val="sr-Latn-RS"/>
        </w:rPr>
        <w:t xml:space="preserve"> </w:t>
      </w:r>
      <w:r>
        <w:rPr>
          <w:i/>
          <w:iCs/>
          <w:sz w:val="28"/>
          <w:szCs w:val="28"/>
          <w:lang w:val="sr-Latn-RS"/>
        </w:rPr>
        <w:t xml:space="preserve">Буџетски корисници расходе и/или издатке планирају у оквиру шифре пројеката и програма за које је предвиђено финансирање из извора 01 – општи приход буџета (за део којим се финансира национално учешће). </w:t>
      </w:r>
    </w:p>
    <w:p>
      <w:pPr>
        <w:pStyle w:val="Normal"/>
        <w:jc w:val="both"/>
        <w:rPr>
          <w:i/>
          <w:i/>
          <w:iCs/>
          <w:sz w:val="28"/>
          <w:szCs w:val="28"/>
          <w:lang w:val="sr-Latn-RS"/>
        </w:rPr>
      </w:pPr>
      <w:r>
        <w:rPr>
          <w:i/>
          <w:iCs/>
          <w:sz w:val="28"/>
          <w:szCs w:val="28"/>
          <w:lang w:val="sr-Latn-RS"/>
        </w:rPr>
        <w:t xml:space="preserve"> </w:t>
      </w:r>
      <w:r>
        <w:rPr>
          <w:i/>
          <w:iCs/>
          <w:sz w:val="28"/>
          <w:szCs w:val="28"/>
          <w:lang w:val="sr-Latn-RS"/>
        </w:rPr>
        <w:t xml:space="preserve">У складу са Оквирним споразумима, Република Србија мора да обезбеди средства за надокнаду нерегуларно утрошених средстава (као последицу неправилности или превара), у случају када није могуће наплатити настале дугове, па у складу са наведеним буџетски корисници </w:t>
      </w:r>
      <w:r>
        <w:rPr>
          <w:b/>
          <w:bCs/>
          <w:i/>
          <w:iCs/>
          <w:sz w:val="28"/>
          <w:szCs w:val="28"/>
          <w:lang w:val="sr-Latn-RS"/>
        </w:rPr>
        <w:t xml:space="preserve">планирају </w:t>
      </w:r>
      <w:r>
        <w:rPr>
          <w:i/>
          <w:iCs/>
          <w:sz w:val="28"/>
          <w:szCs w:val="28"/>
          <w:lang w:val="sr-Latn-RS"/>
        </w:rPr>
        <w:t xml:space="preserve">расходе и/или издатке на име покрића надокнаде нерегуларно утрошених средстава у складу са процењеном вредношћу исте (која је настала као последица неправилности или превара), а у случају када није могуће наплатити настале дугове, на економској класификацији 485 - Накнада штете за повреде или штету нанету од стране државних органа, у оквиру шифре програма и пројекта. </w:t>
      </w:r>
    </w:p>
    <w:p>
      <w:pPr>
        <w:pStyle w:val="Normal"/>
        <w:jc w:val="both"/>
        <w:rPr>
          <w:i/>
          <w:i/>
          <w:iCs/>
          <w:sz w:val="28"/>
          <w:szCs w:val="28"/>
          <w:lang w:val="sr-Latn-RS"/>
        </w:rPr>
      </w:pPr>
      <w:r>
        <w:rPr>
          <w:i/>
          <w:iCs/>
          <w:sz w:val="28"/>
          <w:szCs w:val="28"/>
          <w:lang w:val="sr-Latn-RS"/>
        </w:rPr>
        <w:t xml:space="preserve"> </w:t>
      </w:r>
      <w:r>
        <w:rPr>
          <w:i/>
          <w:iCs/>
          <w:sz w:val="28"/>
          <w:szCs w:val="28"/>
          <w:lang w:val="sr-Latn-RS"/>
        </w:rPr>
        <w:t xml:space="preserve">У случају да су буџетски корисници потписници уговора о бесповратним средствима (грантова) одговорни су и за планирање трошкова на извору 01 на име насталих нерегуларности. </w:t>
      </w:r>
    </w:p>
    <w:p>
      <w:pPr>
        <w:pStyle w:val="Normal"/>
        <w:jc w:val="both"/>
        <w:rPr>
          <w:i/>
          <w:i/>
          <w:iCs/>
          <w:sz w:val="28"/>
          <w:szCs w:val="28"/>
          <w:lang w:val="sr-Latn-RS"/>
        </w:rPr>
      </w:pPr>
      <w:r>
        <w:rPr>
          <w:i/>
          <w:iCs/>
          <w:sz w:val="28"/>
          <w:szCs w:val="28"/>
          <w:lang w:val="sr-Latn-RS"/>
        </w:rPr>
        <w:t xml:space="preserve"> </w:t>
      </w:r>
      <w:r>
        <w:rPr>
          <w:i/>
          <w:iCs/>
          <w:sz w:val="28"/>
          <w:szCs w:val="28"/>
          <w:lang w:val="sr-Latn-RS"/>
        </w:rPr>
        <w:t xml:space="preserve">Приликом планирања средстава за национално учешће </w:t>
      </w:r>
      <w:r>
        <w:rPr>
          <w:b/>
          <w:bCs/>
          <w:i/>
          <w:iCs/>
          <w:sz w:val="28"/>
          <w:szCs w:val="28"/>
          <w:lang w:val="sr-Latn-RS"/>
        </w:rPr>
        <w:t xml:space="preserve">не треба </w:t>
      </w:r>
      <w:r>
        <w:rPr>
          <w:i/>
          <w:iCs/>
          <w:sz w:val="28"/>
          <w:szCs w:val="28"/>
          <w:lang w:val="sr-Latn-RS"/>
        </w:rPr>
        <w:t xml:space="preserve">у предлогу финансијских планова урачунавати трошкове ПДВ8. </w:t>
      </w:r>
    </w:p>
    <w:p>
      <w:pPr>
        <w:pStyle w:val="Normal"/>
        <w:rPr>
          <w:i/>
          <w:i/>
          <w:iCs/>
          <w:sz w:val="28"/>
          <w:szCs w:val="28"/>
          <w:lang w:val="sr-Latn-RS"/>
        </w:rPr>
      </w:pPr>
      <w:r>
        <w:rPr>
          <w:i/>
          <w:iCs/>
          <w:sz w:val="28"/>
          <w:szCs w:val="28"/>
          <w:lang w:val="sr-Latn-RS"/>
        </w:rPr>
        <w:t xml:space="preserve"> </w:t>
      </w:r>
      <w:r>
        <w:rPr>
          <w:i/>
          <w:iCs/>
          <w:sz w:val="28"/>
          <w:szCs w:val="28"/>
          <w:lang w:val="sr-Latn-RS"/>
        </w:rPr>
        <w:t xml:space="preserve">Буџетски корисници </w:t>
      </w:r>
      <w:r>
        <w:rPr>
          <w:b/>
          <w:bCs/>
          <w:i/>
          <w:iCs/>
          <w:sz w:val="28"/>
          <w:szCs w:val="28"/>
          <w:lang w:val="sr-Latn-RS"/>
        </w:rPr>
        <w:t xml:space="preserve">одговорни </w:t>
      </w:r>
      <w:r>
        <w:rPr>
          <w:i/>
          <w:iCs/>
          <w:sz w:val="28"/>
          <w:szCs w:val="28"/>
          <w:lang w:val="sr-Latn-RS"/>
        </w:rPr>
        <w:t xml:space="preserve">су и за планирање трошкова на извору 01 на име камата због кашњења у плаћању и пенала/казни које настају приликом сповођења програма и пројекта. </w:t>
      </w:r>
    </w:p>
    <w:p>
      <w:pPr>
        <w:pStyle w:val="Normal"/>
        <w:rPr>
          <w:i/>
          <w:i/>
          <w:iCs/>
          <w:sz w:val="28"/>
          <w:szCs w:val="28"/>
          <w:lang w:val="sr-Latn-RS"/>
        </w:rPr>
      </w:pPr>
      <w:r>
        <w:rPr>
          <w:i/>
          <w:iCs/>
          <w:sz w:val="28"/>
          <w:szCs w:val="28"/>
          <w:lang w:val="sr-Latn-RS"/>
        </w:rPr>
        <w:t xml:space="preserve"> </w:t>
      </w:r>
      <w:r>
        <w:rPr>
          <w:i/>
          <w:iCs/>
          <w:sz w:val="28"/>
          <w:szCs w:val="28"/>
          <w:lang w:val="sr-Latn-RS"/>
        </w:rPr>
        <w:t xml:space="preserve">За уговоре о радовима, у случају да је потребно да се обезбеде средства на име трошкова за додатне и/или непредвиђене радове, неопходно је да буџетски корисници планирају већи износ националног учешћа, у складу са процењеном вредношћу додатних и/или непредвиђених радова. </w:t>
      </w:r>
    </w:p>
    <w:p>
      <w:pPr>
        <w:pStyle w:val="Normal"/>
        <w:rPr>
          <w:i/>
          <w:i/>
          <w:iCs/>
          <w:sz w:val="28"/>
          <w:szCs w:val="28"/>
          <w:lang w:val="sr-Latn-RS"/>
        </w:rPr>
      </w:pPr>
      <w:r>
        <w:rPr>
          <w:i/>
          <w:iCs/>
          <w:sz w:val="28"/>
          <w:szCs w:val="28"/>
          <w:lang w:val="sr-Latn-RS"/>
        </w:rPr>
        <w:t xml:space="preserve"> </w:t>
      </w:r>
      <w:r>
        <w:rPr>
          <w:i/>
          <w:iCs/>
          <w:sz w:val="28"/>
          <w:szCs w:val="28"/>
          <w:lang w:val="sr-Latn-RS"/>
        </w:rPr>
        <w:t>За FIDIC уговоре о радовима неопходно је да у 202</w:t>
      </w:r>
      <w:r>
        <w:rPr>
          <w:i/>
          <w:iCs/>
          <w:sz w:val="28"/>
          <w:szCs w:val="28"/>
          <w:lang w:val="sr-RS"/>
        </w:rPr>
        <w:t>5</w:t>
      </w:r>
      <w:r>
        <w:rPr>
          <w:i/>
          <w:iCs/>
          <w:sz w:val="28"/>
          <w:szCs w:val="28"/>
          <w:lang w:val="sr-Latn-RS"/>
        </w:rPr>
        <w:t xml:space="preserve">. години буџетски корисници планирају средства на извору 01 за покриће трошкова комисије за решавање спорова. </w:t>
      </w:r>
    </w:p>
    <w:p>
      <w:pPr>
        <w:pStyle w:val="Normal"/>
        <w:jc w:val="both"/>
        <w:rPr>
          <w:rFonts w:eastAsia="Calibri"/>
          <w:sz w:val="28"/>
          <w:szCs w:val="28"/>
          <w:lang w:val="sr-RS" w:eastAsia="en-US"/>
        </w:rPr>
      </w:pPr>
      <w:r>
        <w:rPr>
          <w:rFonts w:eastAsia="Calibri"/>
          <w:i/>
          <w:iCs/>
          <w:sz w:val="28"/>
          <w:szCs w:val="28"/>
          <w:lang w:val="sr-Latn-RS" w:eastAsia="en-US"/>
        </w:rPr>
        <w:t xml:space="preserve"> </w:t>
      </w:r>
      <w:r>
        <w:rPr>
          <w:rFonts w:eastAsia="Calibri"/>
          <w:i/>
          <w:iCs/>
          <w:sz w:val="28"/>
          <w:szCs w:val="28"/>
          <w:lang w:val="sr-Latn-RS" w:eastAsia="en-US"/>
        </w:rPr>
        <w:t>У складу са релевантним финансијским споразумима и Планом јавних набавки Сектора за уговарање и финансирање програма из</w:t>
      </w:r>
      <w:r>
        <w:rPr>
          <w:rFonts w:eastAsia="Calibri"/>
          <w:i/>
          <w:iCs/>
          <w:sz w:val="28"/>
          <w:szCs w:val="28"/>
          <w:lang w:val="sr-RS" w:eastAsia="en-US"/>
        </w:rPr>
        <w:t xml:space="preserve"> средстава</w:t>
      </w:r>
      <w:r>
        <w:rPr>
          <w:rFonts w:eastAsia="Calibri"/>
          <w:i/>
          <w:iCs/>
          <w:sz w:val="28"/>
          <w:szCs w:val="28"/>
          <w:lang w:val="sr-Latn-RS" w:eastAsia="en-US"/>
        </w:rPr>
        <w:t xml:space="preserve">  ЕУ Минист</w:t>
      </w:r>
      <w:r>
        <w:rPr>
          <w:rFonts w:eastAsia="Calibri"/>
          <w:i/>
          <w:iCs/>
          <w:sz w:val="28"/>
          <w:szCs w:val="28"/>
          <w:lang w:val="sr-RS" w:eastAsia="en-US"/>
        </w:rPr>
        <w:t xml:space="preserve">арства </w:t>
      </w:r>
      <w:r>
        <w:rPr>
          <w:rFonts w:eastAsia="Calibri"/>
          <w:i/>
          <w:iCs/>
          <w:sz w:val="28"/>
          <w:szCs w:val="28"/>
          <w:lang w:val="sr-Latn-RS" w:eastAsia="en-US"/>
        </w:rPr>
        <w:t>финансија, као и у складу са уговором дефинисаном динамиком спровођења, буџетски корисници локалне власти у обавези су да обезбеде средства националног учешћа</w:t>
      </w:r>
      <w:r>
        <w:rPr>
          <w:rFonts w:eastAsia="Calibri"/>
          <w:sz w:val="28"/>
          <w:szCs w:val="28"/>
          <w:lang w:val="sr-Latn-RS" w:eastAsia="en-US"/>
        </w:rPr>
        <w:t xml:space="preserve">. </w:t>
      </w:r>
    </w:p>
    <w:p>
      <w:pPr>
        <w:pStyle w:val="Normal"/>
        <w:rPr>
          <w:sz w:val="28"/>
          <w:szCs w:val="28"/>
          <w:lang w:val="sr-RS"/>
        </w:rPr>
      </w:pPr>
      <w:r>
        <w:rPr>
          <w:sz w:val="28"/>
          <w:szCs w:val="28"/>
          <w:lang w:val="sr-RS"/>
        </w:rPr>
      </w:r>
    </w:p>
    <w:p>
      <w:pPr>
        <w:pStyle w:val="Normal"/>
        <w:rPr>
          <w:b/>
          <w:i/>
          <w:i/>
          <w:sz w:val="28"/>
          <w:szCs w:val="28"/>
          <w:lang w:val="sr-RS"/>
        </w:rPr>
      </w:pPr>
      <w:r>
        <w:rPr>
          <w:b/>
          <w:i/>
          <w:sz w:val="28"/>
          <w:szCs w:val="28"/>
        </w:rPr>
        <w:t>7. Смернице за исказивање издатака за капиталне пројекте</w:t>
      </w:r>
    </w:p>
    <w:p>
      <w:pPr>
        <w:pStyle w:val="Normal"/>
        <w:rPr>
          <w:b/>
          <w:i/>
          <w:i/>
          <w:sz w:val="28"/>
          <w:szCs w:val="28"/>
          <w:lang w:val="sr-RS"/>
        </w:rPr>
      </w:pPr>
      <w:r>
        <w:rPr>
          <w:b/>
          <w:i/>
          <w:sz w:val="28"/>
          <w:szCs w:val="28"/>
          <w:lang w:val="sr-RS"/>
        </w:rPr>
      </w:r>
    </w:p>
    <w:p>
      <w:pPr>
        <w:pStyle w:val="Normal"/>
        <w:jc w:val="both"/>
        <w:rPr>
          <w:b/>
          <w:i/>
          <w:i/>
          <w:sz w:val="28"/>
          <w:szCs w:val="28"/>
        </w:rPr>
      </w:pPr>
      <w:r>
        <w:rPr>
          <w:b/>
          <w:i/>
          <w:sz w:val="28"/>
          <w:szCs w:val="28"/>
        </w:rPr>
        <w:t>Класа 5 - Издаци за нефинансијску имовину</w:t>
      </w:r>
    </w:p>
    <w:p>
      <w:pPr>
        <w:pStyle w:val="Normal"/>
        <w:jc w:val="both"/>
        <w:rPr>
          <w:i/>
          <w:i/>
          <w:iCs/>
          <w:sz w:val="28"/>
          <w:szCs w:val="28"/>
          <w:lang w:val="sr-RS"/>
        </w:rPr>
      </w:pPr>
      <w:r>
        <w:rPr>
          <w:i/>
          <w:iCs/>
          <w:sz w:val="28"/>
          <w:szCs w:val="28"/>
        </w:rPr>
        <w:t>У циљу ефикасног планирања, важно је да корисници расходе за текуће поправке и одржавање зграда, објеката и опреме (за молерске, зидарске радове, поправке електронске и електричне опреме, замена санитарија, радијатора и сличне послове), којима се чувa упoтрeбнa врeднoст зграда, објеката и опреме у стaњу кoje je билo у трeнутку изгрaдњe, oднoснo рeкoнструкциje и којима се не увећава њихова инвестициона вредност планирају на апропријацији економске класификације 425 - Текуће поправке и одржавање, док се средства за капитално одржавање (знaчajни, дугoрoчни рaдoви нa рeнoвирaњу и унaпрeђeњу пoстojeћих oбjeкaтa и опреме, адаптација, реконструкција, санација и др.) планирају на контима класе 5. Приликом планирања и реализације капиталних пројеката јединице локалне самоуправе треба увек да имају у виду период који је потребан за реализацију пројеката и динамику плаћања који прати исти, те да сходно наведеном размотре могућност вишегодишњег финансирања истих, а у циљу спречавања оптерећења буџета. Такође, приликом приказивања вишегодишњих издатака за капиталне пројекте у буџету за 2026. годину и наредне две године, потребно је приказати не само оне капиталне пројекте који ће бити започети у 2026. години, већ и оне који су започети у претходним годинама а чија је реализација у току и при томе навести све релевантне податке везане за исте (годину почетка финансирања, годину завршетка финансирања, укупну вредност пројекта, изворе финансирања, тј. приходе из буџета, трансфере од других нивоа власти итд..</w:t>
      </w:r>
    </w:p>
    <w:p>
      <w:pPr>
        <w:pStyle w:val="Normal"/>
        <w:jc w:val="both"/>
        <w:rPr>
          <w:i/>
          <w:i/>
          <w:iCs/>
          <w:sz w:val="28"/>
          <w:szCs w:val="28"/>
          <w:lang w:val="sr-RS"/>
        </w:rPr>
      </w:pPr>
      <w:r>
        <w:rPr>
          <w:i/>
          <w:iCs/>
          <w:sz w:val="28"/>
          <w:szCs w:val="28"/>
        </w:rPr>
        <w:t>Напомињемо да ће у Закону о буџету Републике Србије за 2026. годину бити прописано да су надлежна министарства, односно органи аутономних покрајина обавезни да приликом спровођења јавних конкурса за доделу средстава за финансирање или суфинансирање пројеката које реализују јединице локалне самоуправе, не предвиђају обавезу сопственог учешћа у финансирању пројекта за јединице локалне самоуправе сврстане у четврту групу по степену развијености, у складу са актом Владе којим се утврђује степен развијености јединица локалне самоуправе.</w:t>
      </w:r>
    </w:p>
    <w:p>
      <w:pPr>
        <w:pStyle w:val="Normal"/>
        <w:jc w:val="both"/>
        <w:rPr>
          <w:i/>
          <w:i/>
          <w:sz w:val="28"/>
          <w:szCs w:val="28"/>
          <w:lang w:val="sr-RS"/>
        </w:rPr>
      </w:pPr>
      <w:r>
        <w:rPr>
          <w:i/>
          <w:sz w:val="28"/>
          <w:szCs w:val="28"/>
          <w:lang w:val="sr-RS"/>
        </w:rPr>
      </w:r>
    </w:p>
    <w:p>
      <w:pPr>
        <w:pStyle w:val="Normal"/>
        <w:jc w:val="both"/>
        <w:rPr>
          <w:b/>
          <w:i/>
          <w:i/>
          <w:sz w:val="28"/>
          <w:szCs w:val="28"/>
        </w:rPr>
      </w:pPr>
      <w:r>
        <w:rPr>
          <w:b/>
          <w:i/>
          <w:sz w:val="28"/>
          <w:szCs w:val="28"/>
        </w:rPr>
        <w:t>Капитални пројекти</w:t>
      </w:r>
    </w:p>
    <w:p>
      <w:pPr>
        <w:pStyle w:val="Normal"/>
        <w:jc w:val="both"/>
        <w:rPr>
          <w:i/>
          <w:i/>
          <w:sz w:val="28"/>
          <w:szCs w:val="28"/>
        </w:rPr>
      </w:pPr>
      <w:r>
        <w:rPr>
          <w:i/>
          <w:sz w:val="28"/>
          <w:szCs w:val="28"/>
        </w:rPr>
        <w:t>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је саставни део пројекта, обезбеђивање земљишта за изградњу, као и пројекти који подразумевају улагања у опрему, машине и другу нефинансијску имовину, а у функцији су јавног интереса.</w:t>
      </w:r>
    </w:p>
    <w:p>
      <w:pPr>
        <w:pStyle w:val="Normal"/>
        <w:jc w:val="both"/>
        <w:rPr>
          <w:i/>
          <w:i/>
          <w:sz w:val="28"/>
          <w:szCs w:val="28"/>
          <w:lang w:val="sr-RS"/>
        </w:rPr>
      </w:pPr>
      <w:r>
        <w:rPr>
          <w:i/>
          <w:sz w:val="28"/>
          <w:szCs w:val="28"/>
        </w:rPr>
        <w:t xml:space="preserve">Капитални пројекти планирају се и укључују у буџет у складу са одредбама Уредбе о  капиталним пројектима („Службени гласник РС”, бр. </w:t>
      </w:r>
      <w:r>
        <w:rPr>
          <w:i/>
          <w:sz w:val="28"/>
          <w:szCs w:val="28"/>
          <w:lang w:val="sr-RS"/>
        </w:rPr>
        <w:t>79/23</w:t>
      </w:r>
      <w:r>
        <w:rPr>
          <w:i/>
          <w:sz w:val="28"/>
          <w:szCs w:val="28"/>
        </w:rPr>
        <w:t>).</w:t>
      </w:r>
    </w:p>
    <w:p>
      <w:pPr>
        <w:pStyle w:val="Normal"/>
        <w:jc w:val="both"/>
        <w:rPr>
          <w:b/>
          <w:i/>
          <w:i/>
          <w:sz w:val="28"/>
          <w:szCs w:val="28"/>
          <w:lang w:val="sr-RS"/>
        </w:rPr>
      </w:pPr>
      <w:r>
        <w:rPr>
          <w:b/>
          <w:i/>
          <w:sz w:val="28"/>
          <w:szCs w:val="28"/>
          <w:lang w:val="sr-RS"/>
        </w:rPr>
      </w:r>
    </w:p>
    <w:p>
      <w:pPr>
        <w:pStyle w:val="Normal"/>
        <w:jc w:val="both"/>
        <w:rPr>
          <w:b/>
          <w:bCs/>
          <w:i/>
          <w:i/>
          <w:sz w:val="28"/>
          <w:szCs w:val="28"/>
          <w:lang w:val="sr-RS"/>
        </w:rPr>
      </w:pPr>
      <w:r>
        <w:rPr>
          <w:b/>
          <w:bCs/>
          <w:i/>
          <w:sz w:val="28"/>
          <w:szCs w:val="28"/>
          <w:lang w:val="sr-RS"/>
        </w:rPr>
        <w:t xml:space="preserve">8. Достављање одлуке о буџету локалне власти </w:t>
      </w:r>
    </w:p>
    <w:p>
      <w:pPr>
        <w:pStyle w:val="Normal"/>
        <w:jc w:val="both"/>
        <w:rPr>
          <w:i/>
          <w:i/>
          <w:sz w:val="28"/>
          <w:szCs w:val="28"/>
          <w:lang w:val="sr-RS"/>
        </w:rPr>
      </w:pPr>
      <w:r>
        <w:rPr>
          <w:i/>
          <w:sz w:val="28"/>
          <w:szCs w:val="28"/>
          <w:lang w:val="sr-RS"/>
        </w:rPr>
      </w:r>
    </w:p>
    <w:p>
      <w:pPr>
        <w:pStyle w:val="Normal"/>
        <w:jc w:val="both"/>
        <w:rPr>
          <w:i/>
          <w:i/>
          <w:sz w:val="28"/>
          <w:szCs w:val="28"/>
          <w:lang w:val="sr-RS"/>
        </w:rPr>
      </w:pPr>
      <w:r>
        <w:rPr>
          <w:i/>
          <w:sz w:val="28"/>
          <w:szCs w:val="28"/>
          <w:lang w:val="sr-RS"/>
        </w:rPr>
        <w:t xml:space="preserve">У складу са овим упутством и чланом 40. Закона о буџетском систему, локални орган управе надлежан за финансије доставља директним корисницима средстава буџета локалне власти упутство за припрему буџета локалне власти. </w:t>
      </w:r>
    </w:p>
    <w:p>
      <w:pPr>
        <w:pStyle w:val="Normal"/>
        <w:jc w:val="both"/>
        <w:rPr>
          <w:i/>
          <w:i/>
          <w:sz w:val="28"/>
          <w:szCs w:val="28"/>
          <w:lang w:val="sr-RS"/>
        </w:rPr>
      </w:pPr>
      <w:r>
        <w:rPr>
          <w:i/>
          <w:sz w:val="28"/>
          <w:szCs w:val="28"/>
          <w:lang w:val="sr-RS"/>
        </w:rPr>
        <w:t xml:space="preserve">Ово упутство и прилози са табелама налазе се на интернет страници Министарства финансија. </w:t>
      </w:r>
    </w:p>
    <w:p>
      <w:pPr>
        <w:pStyle w:val="Normal"/>
        <w:jc w:val="both"/>
        <w:rPr>
          <w:i/>
          <w:i/>
          <w:sz w:val="28"/>
          <w:szCs w:val="28"/>
          <w:lang w:val="sr-RS"/>
        </w:rPr>
      </w:pPr>
      <w:r>
        <w:rPr>
          <w:i/>
          <w:sz w:val="28"/>
          <w:szCs w:val="28"/>
          <w:lang w:val="sr-RS"/>
        </w:rPr>
        <w:t xml:space="preserve">Одлуку о буџету са образложењем локална власт доставља Министарству финансија у писаној форми, у роковима прописаним чланом 31. Закона о буџетском систему, као и у електронској форми. </w:t>
      </w:r>
    </w:p>
    <w:p>
      <w:pPr>
        <w:pStyle w:val="Normal"/>
        <w:jc w:val="both"/>
        <w:rPr>
          <w:i/>
          <w:i/>
          <w:sz w:val="28"/>
          <w:szCs w:val="28"/>
          <w:lang w:val="sr-RS"/>
        </w:rPr>
      </w:pPr>
      <w:r>
        <w:rPr>
          <w:i/>
          <w:sz w:val="28"/>
          <w:szCs w:val="28"/>
          <w:lang w:val="sr-RS"/>
        </w:rPr>
        <w:t xml:space="preserve">Надлежни орган локалне власти, у складу са чланом 45. Закона о буџетском систему, своју одлуку о буџету са образложењем, као и ребалансе буџета мора да објави на својој интернет страници у циљу повећања транспарентности и информисаности стручне јавности и грађана. </w:t>
      </w:r>
    </w:p>
    <w:p>
      <w:pPr>
        <w:pStyle w:val="Normal"/>
        <w:shd w:val="clear" w:color="auto" w:fill="FFFFFF"/>
        <w:spacing w:beforeAutospacing="1" w:afterAutospacing="1"/>
        <w:rPr>
          <w:b/>
          <w:bCs/>
          <w:sz w:val="28"/>
          <w:szCs w:val="28"/>
          <w:lang w:eastAsia="en-US"/>
        </w:rPr>
      </w:pPr>
      <w:r>
        <w:rPr>
          <w:b/>
          <w:bCs/>
          <w:sz w:val="28"/>
          <w:szCs w:val="28"/>
          <w:lang w:eastAsia="en-US"/>
        </w:rPr>
        <w:t>Такође Закон о буџету Републике Србије за 202</w:t>
      </w:r>
      <w:r>
        <w:rPr>
          <w:b/>
          <w:bCs/>
          <w:sz w:val="28"/>
          <w:szCs w:val="28"/>
          <w:lang w:val="sr-RS" w:eastAsia="en-US"/>
        </w:rPr>
        <w:t>6</w:t>
      </w:r>
      <w:r>
        <w:rPr>
          <w:b/>
          <w:bCs/>
          <w:sz w:val="28"/>
          <w:szCs w:val="28"/>
          <w:lang w:eastAsia="en-US"/>
        </w:rPr>
        <w:t>.</w:t>
      </w:r>
      <w:r>
        <w:rPr>
          <w:b/>
          <w:bCs/>
          <w:sz w:val="28"/>
          <w:szCs w:val="28"/>
          <w:lang w:val="sr-RS" w:eastAsia="en-US"/>
        </w:rPr>
        <w:t xml:space="preserve">  </w:t>
      </w:r>
      <w:r>
        <w:rPr>
          <w:b/>
          <w:bCs/>
          <w:sz w:val="28"/>
          <w:szCs w:val="28"/>
          <w:lang w:eastAsia="en-US"/>
        </w:rPr>
        <w:t>године садржи одредбе које се тичу извршавања буџета јединица локалне самоуправе и то:</w:t>
      </w:r>
    </w:p>
    <w:p>
      <w:pPr>
        <w:pStyle w:val="Normal"/>
        <w:ind w:firstLine="720"/>
        <w:jc w:val="both"/>
        <w:rPr>
          <w:sz w:val="28"/>
          <w:szCs w:val="28"/>
          <w:lang w:val="sr-RS"/>
        </w:rPr>
      </w:pPr>
      <w:r>
        <w:rPr>
          <w:sz w:val="28"/>
          <w:szCs w:val="28"/>
        </w:rPr>
        <w:t xml:space="preserve">Oсновица за обрачун и исплату плата </w:t>
      </w:r>
      <w:r>
        <w:rPr>
          <w:sz w:val="28"/>
          <w:szCs w:val="28"/>
          <w:lang w:val="sr-RS"/>
        </w:rPr>
        <w:t>у 2026. години утврђује се</w:t>
      </w:r>
      <w:r>
        <w:rPr>
          <w:sz w:val="28"/>
          <w:szCs w:val="28"/>
        </w:rPr>
        <w:t>:</w:t>
      </w:r>
    </w:p>
    <w:p>
      <w:pPr>
        <w:pStyle w:val="Normal"/>
        <w:jc w:val="both"/>
        <w:rPr>
          <w:sz w:val="28"/>
          <w:szCs w:val="28"/>
          <w:lang w:val="sr-RS"/>
        </w:rPr>
      </w:pPr>
      <w:r>
        <w:rPr>
          <w:sz w:val="28"/>
          <w:szCs w:val="28"/>
          <w:lang w:val="sr-RS"/>
        </w:rPr>
        <w:tab/>
        <w:t xml:space="preserve">- за државне службенике и намештенике у Министарству унутрашњих послова у нето износу од </w:t>
      </w:r>
      <w:r>
        <w:rPr>
          <w:sz w:val="28"/>
          <w:szCs w:val="28"/>
          <w:lang w:val="sr-Latn-RS"/>
        </w:rPr>
        <w:t>37.</w:t>
      </w:r>
      <w:r>
        <w:rPr>
          <w:sz w:val="28"/>
          <w:szCs w:val="28"/>
          <w:lang w:val="sr-RS"/>
        </w:rPr>
        <w:t>034,70 динара са припадајућим порезом и доприносима за обавезно социјално осигурање;</w:t>
      </w:r>
    </w:p>
    <w:p>
      <w:pPr>
        <w:pStyle w:val="Normal"/>
        <w:jc w:val="both"/>
        <w:rPr>
          <w:sz w:val="28"/>
          <w:szCs w:val="28"/>
          <w:lang w:val="sr-RS"/>
        </w:rPr>
      </w:pPr>
      <w:r>
        <w:rPr>
          <w:color w:val="C00000"/>
          <w:sz w:val="28"/>
          <w:szCs w:val="28"/>
          <w:lang w:val="sr-RS"/>
        </w:rPr>
        <w:tab/>
      </w:r>
      <w:r>
        <w:rPr>
          <w:sz w:val="28"/>
          <w:szCs w:val="28"/>
          <w:lang w:val="sr-RS"/>
        </w:rPr>
        <w:t xml:space="preserve">- за државне службенике и намештенике у Министарству одбране у нето износу од </w:t>
      </w:r>
      <w:r>
        <w:rPr>
          <w:sz w:val="28"/>
          <w:szCs w:val="28"/>
          <w:lang w:val="sr-Latn-RS"/>
        </w:rPr>
        <w:t>37</w:t>
      </w:r>
      <w:r>
        <w:rPr>
          <w:sz w:val="28"/>
          <w:szCs w:val="28"/>
          <w:lang w:val="sr-RS"/>
        </w:rPr>
        <w:t>.380,82 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за лекаре у заводима за извршење кривичних санкција у нето износу од 40.364,43</w:t>
      </w:r>
      <w:r>
        <w:rPr>
          <w:sz w:val="28"/>
          <w:szCs w:val="28"/>
          <w:lang w:val="sr-Latn-RS"/>
        </w:rPr>
        <w:t xml:space="preserve"> </w:t>
      </w:r>
      <w:r>
        <w:rPr>
          <w:sz w:val="28"/>
          <w:szCs w:val="28"/>
          <w:lang w:val="sr-RS"/>
        </w:rPr>
        <w:t>динара са припадајућим порезом и доприносима за обавезно социјално осигурање;</w:t>
      </w:r>
    </w:p>
    <w:p>
      <w:pPr>
        <w:pStyle w:val="Normal"/>
        <w:tabs>
          <w:tab w:val="clear" w:pos="720"/>
          <w:tab w:val="left" w:pos="709" w:leader="none"/>
        </w:tabs>
        <w:jc w:val="both"/>
        <w:rPr>
          <w:sz w:val="28"/>
          <w:szCs w:val="28"/>
          <w:lang w:val="sr-Latn-RS"/>
        </w:rPr>
      </w:pPr>
      <w:r>
        <w:rPr>
          <w:sz w:val="28"/>
          <w:szCs w:val="28"/>
          <w:lang w:val="sr-Latn-RS"/>
        </w:rPr>
        <w:tab/>
        <w:t xml:space="preserve">- </w:t>
      </w:r>
      <w:r>
        <w:rPr>
          <w:sz w:val="28"/>
          <w:szCs w:val="28"/>
          <w:lang w:val="sr-RS"/>
        </w:rPr>
        <w:t xml:space="preserve">за </w:t>
      </w:r>
      <w:r>
        <w:rPr>
          <w:bCs/>
          <w:sz w:val="28"/>
          <w:szCs w:val="28"/>
          <w:lang w:val="sr-RS"/>
        </w:rPr>
        <w:t xml:space="preserve">медицинске и стоматолошке техничаре </w:t>
      </w:r>
      <w:r>
        <w:rPr>
          <w:sz w:val="28"/>
          <w:szCs w:val="28"/>
          <w:lang w:val="sr-RS"/>
        </w:rPr>
        <w:t>у заводима за извршење кривичних санкција у нето износу од 38.713,14 динара са припадајућим порезом и доприносима за обавезно социјално осигурање;</w:t>
      </w:r>
      <w:r>
        <w:rPr>
          <w:sz w:val="28"/>
          <w:szCs w:val="28"/>
          <w:lang w:val="sr-Latn-RS"/>
        </w:rPr>
        <w:t xml:space="preserve"> </w:t>
      </w:r>
    </w:p>
    <w:p>
      <w:pPr>
        <w:pStyle w:val="Normal"/>
        <w:jc w:val="both"/>
        <w:rPr>
          <w:sz w:val="28"/>
          <w:szCs w:val="28"/>
          <w:lang w:val="sr-Latn-RS"/>
        </w:rPr>
      </w:pPr>
      <w:r>
        <w:rPr>
          <w:sz w:val="28"/>
          <w:szCs w:val="28"/>
          <w:lang w:val="sr-RS"/>
        </w:rPr>
        <w:tab/>
      </w:r>
      <w:r>
        <w:rPr>
          <w:sz w:val="28"/>
          <w:szCs w:val="28"/>
          <w:lang w:val="sr-Latn-RS"/>
        </w:rPr>
        <w:t xml:space="preserve">- </w:t>
      </w:r>
      <w:r>
        <w:rPr>
          <w:sz w:val="28"/>
          <w:szCs w:val="28"/>
          <w:lang w:val="sr-RS"/>
        </w:rPr>
        <w:t>за остале здравствене раднике у заводима за извршење кривичних санкција у нето износу од 36.694,92</w:t>
      </w:r>
      <w:r>
        <w:rPr>
          <w:sz w:val="28"/>
          <w:szCs w:val="28"/>
          <w:lang w:val="sr-Latn-RS"/>
        </w:rPr>
        <w:t xml:space="preserve"> </w:t>
      </w:r>
      <w:r>
        <w:rPr>
          <w:sz w:val="28"/>
          <w:szCs w:val="28"/>
          <w:lang w:val="sr-RS"/>
        </w:rPr>
        <w:t>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за државне службенике и намештенике у заводима за извршење кривичних санкција, осим запослених из алинеја 3-5. овог става, и у судовима и тужилаштвима који су основани у складу са Законом о уређењу судова („Службени гласник РС”, број 10/23) и Законом о јавном тужилаштву („Службени гласник РС”, број 10/23) у нето износу од 36</w:t>
      </w:r>
      <w:r>
        <w:rPr>
          <w:sz w:val="28"/>
          <w:szCs w:val="28"/>
          <w:lang w:val="sr-Latn-RS"/>
        </w:rPr>
        <w:t>.</w:t>
      </w:r>
      <w:r>
        <w:rPr>
          <w:sz w:val="28"/>
          <w:szCs w:val="28"/>
          <w:lang w:val="sr-RS"/>
        </w:rPr>
        <w:t>355</w:t>
      </w:r>
      <w:r>
        <w:rPr>
          <w:sz w:val="28"/>
          <w:szCs w:val="28"/>
          <w:lang w:val="sr-Latn-RS"/>
        </w:rPr>
        <w:t>,</w:t>
      </w:r>
      <w:r>
        <w:rPr>
          <w:sz w:val="28"/>
          <w:szCs w:val="28"/>
          <w:lang w:val="sr-RS"/>
        </w:rPr>
        <w:t>15</w:t>
      </w:r>
      <w:r>
        <w:rPr>
          <w:sz w:val="28"/>
          <w:szCs w:val="28"/>
          <w:lang w:val="sr-Latn-RS"/>
        </w:rPr>
        <w:t xml:space="preserve"> </w:t>
      </w:r>
      <w:r>
        <w:rPr>
          <w:sz w:val="28"/>
          <w:szCs w:val="28"/>
          <w:lang w:val="sr-RS"/>
        </w:rPr>
        <w:t>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xml:space="preserve">- за државне службенике и намештенике у судовима и тужилаштвима који у складу са посебним законом остварују право на плату у дуплом износу у нето износу од </w:t>
      </w:r>
      <w:r>
        <w:rPr>
          <w:sz w:val="28"/>
          <w:szCs w:val="28"/>
          <w:lang w:val="sr-Latn-RS"/>
        </w:rPr>
        <w:t>33.</w:t>
      </w:r>
      <w:r>
        <w:rPr>
          <w:sz w:val="28"/>
          <w:szCs w:val="28"/>
          <w:lang w:val="sr-RS"/>
        </w:rPr>
        <w:t>050</w:t>
      </w:r>
      <w:r>
        <w:rPr>
          <w:sz w:val="28"/>
          <w:szCs w:val="28"/>
          <w:lang w:val="sr-Latn-RS"/>
        </w:rPr>
        <w:t>,</w:t>
      </w:r>
      <w:r>
        <w:rPr>
          <w:sz w:val="28"/>
          <w:szCs w:val="28"/>
          <w:lang w:val="sr-RS"/>
        </w:rPr>
        <w:t>11</w:t>
      </w:r>
      <w:r>
        <w:rPr>
          <w:sz w:val="28"/>
          <w:szCs w:val="28"/>
          <w:lang w:val="sr-Latn-RS"/>
        </w:rPr>
        <w:t xml:space="preserve"> </w:t>
      </w:r>
      <w:r>
        <w:rPr>
          <w:sz w:val="28"/>
          <w:szCs w:val="28"/>
          <w:lang w:val="sr-RS"/>
        </w:rPr>
        <w:t>динара са припадајућим порезом и доприносима за обавезно социјално осигурање;</w:t>
      </w:r>
    </w:p>
    <w:p>
      <w:pPr>
        <w:pStyle w:val="Normal"/>
        <w:jc w:val="both"/>
        <w:rPr>
          <w:rFonts w:ascii="Calibri" w:hAnsi="Calibri" w:cs="Calibri"/>
          <w:sz w:val="28"/>
          <w:szCs w:val="28"/>
          <w:lang w:val="sr-Latn-RS" w:eastAsia="sr-Latn-RS"/>
        </w:rPr>
      </w:pPr>
      <w:r>
        <w:rPr>
          <w:sz w:val="28"/>
          <w:szCs w:val="28"/>
          <w:lang w:val="sr-RS"/>
        </w:rPr>
        <w:tab/>
        <w:t>- за државне службенике и намештенике у Високом савету судства, Високом савету тужилаштва и Државном правобранилаштву у нето износу од 34</w:t>
      </w:r>
      <w:r>
        <w:rPr>
          <w:sz w:val="28"/>
          <w:szCs w:val="28"/>
          <w:lang w:val="sr-Latn-RS"/>
        </w:rPr>
        <w:t>.</w:t>
      </w:r>
      <w:r>
        <w:rPr>
          <w:sz w:val="28"/>
          <w:szCs w:val="28"/>
          <w:lang w:val="sr-RS"/>
        </w:rPr>
        <w:t>384</w:t>
      </w:r>
      <w:r>
        <w:rPr>
          <w:sz w:val="28"/>
          <w:szCs w:val="28"/>
          <w:lang w:val="sr-Latn-RS"/>
        </w:rPr>
        <w:t>,</w:t>
      </w:r>
      <w:r>
        <w:rPr>
          <w:sz w:val="28"/>
          <w:szCs w:val="28"/>
          <w:lang w:val="sr-RS"/>
        </w:rPr>
        <w:t>26</w:t>
      </w:r>
      <w:r>
        <w:rPr>
          <w:sz w:val="28"/>
          <w:szCs w:val="28"/>
          <w:lang w:val="sr-Latn-RS"/>
        </w:rPr>
        <w:t xml:space="preserve"> </w:t>
      </w:r>
      <w:r>
        <w:rPr>
          <w:sz w:val="28"/>
          <w:szCs w:val="28"/>
          <w:lang w:val="sr-RS"/>
        </w:rPr>
        <w:t>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xml:space="preserve">- за државне службенике и намештенике у Уставном суду у нето износу од </w:t>
      </w:r>
      <w:r>
        <w:rPr>
          <w:sz w:val="28"/>
          <w:szCs w:val="28"/>
          <w:lang w:val="sr-Latn-RS"/>
        </w:rPr>
        <w:t>34.</w:t>
      </w:r>
      <w:r>
        <w:rPr>
          <w:sz w:val="28"/>
          <w:szCs w:val="28"/>
          <w:lang w:val="sr-RS"/>
        </w:rPr>
        <w:t>702,</w:t>
      </w:r>
      <w:r>
        <w:rPr>
          <w:sz w:val="28"/>
          <w:szCs w:val="28"/>
          <w:lang w:val="sr-Latn-RS"/>
        </w:rPr>
        <w:t xml:space="preserve">64 </w:t>
      </w:r>
      <w:r>
        <w:rPr>
          <w:sz w:val="28"/>
          <w:szCs w:val="28"/>
          <w:lang w:val="sr-RS"/>
        </w:rPr>
        <w:t>динара са припадајућим порезом и доприносима за обавезно социјално осигурање;</w:t>
      </w:r>
    </w:p>
    <w:p>
      <w:pPr>
        <w:pStyle w:val="Normal"/>
        <w:ind w:firstLine="709"/>
        <w:jc w:val="both"/>
        <w:rPr>
          <w:sz w:val="28"/>
          <w:szCs w:val="28"/>
          <w:lang w:val="sr-RS"/>
        </w:rPr>
      </w:pPr>
      <w:r>
        <w:rPr>
          <w:sz w:val="28"/>
          <w:szCs w:val="28"/>
          <w:lang w:val="sr-RS"/>
        </w:rPr>
        <w:tab/>
        <w:t xml:space="preserve">- за запослене у Пореској управи, Управи царина и Управи за трезор у нето износу од </w:t>
      </w:r>
      <w:r>
        <w:rPr>
          <w:sz w:val="28"/>
          <w:szCs w:val="28"/>
          <w:lang w:val="sr-Latn-RS"/>
        </w:rPr>
        <w:t>34.</w:t>
      </w:r>
      <w:r>
        <w:rPr>
          <w:sz w:val="28"/>
          <w:szCs w:val="28"/>
          <w:lang w:val="sr-RS"/>
        </w:rPr>
        <w:t>787</w:t>
      </w:r>
      <w:r>
        <w:rPr>
          <w:sz w:val="28"/>
          <w:szCs w:val="28"/>
          <w:lang w:val="sr-Latn-RS"/>
        </w:rPr>
        <w:t>,</w:t>
      </w:r>
      <w:r>
        <w:rPr>
          <w:sz w:val="28"/>
          <w:szCs w:val="28"/>
          <w:lang w:val="sr-RS"/>
        </w:rPr>
        <w:t>24 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xml:space="preserve">- за функционере чија се плата према посебном закону директно или индиректно одређује према плати државних службеника на положају у нето износу од </w:t>
      </w:r>
      <w:r>
        <w:rPr>
          <w:sz w:val="28"/>
          <w:szCs w:val="28"/>
          <w:lang w:val="sr-Latn-RS"/>
        </w:rPr>
        <w:t>31</w:t>
      </w:r>
      <w:r>
        <w:rPr>
          <w:sz w:val="28"/>
          <w:szCs w:val="28"/>
          <w:lang w:val="sr-RS"/>
        </w:rPr>
        <w:t>.187,55 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xml:space="preserve">- за функционере чија се плата према посебном закону директно или индиректно одређује према плати судија у нето износу од </w:t>
      </w:r>
      <w:r>
        <w:rPr>
          <w:sz w:val="28"/>
          <w:szCs w:val="28"/>
          <w:lang w:val="sr-Latn-RS"/>
        </w:rPr>
        <w:t>54.</w:t>
      </w:r>
      <w:r>
        <w:rPr>
          <w:sz w:val="28"/>
          <w:szCs w:val="28"/>
          <w:lang w:val="sr-RS"/>
        </w:rPr>
        <w:t>411</w:t>
      </w:r>
      <w:r>
        <w:rPr>
          <w:sz w:val="28"/>
          <w:szCs w:val="28"/>
          <w:lang w:val="sr-Latn-RS"/>
        </w:rPr>
        <w:t>,</w:t>
      </w:r>
      <w:r>
        <w:rPr>
          <w:sz w:val="28"/>
          <w:szCs w:val="28"/>
          <w:lang w:val="sr-RS"/>
        </w:rPr>
        <w:t>54 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 xml:space="preserve">- за државне службенике и намештенике којима основица није утврђена у алинејама 1-10. овог става у нето износу од </w:t>
      </w:r>
      <w:r>
        <w:rPr>
          <w:sz w:val="28"/>
          <w:szCs w:val="28"/>
          <w:lang w:val="sr-Latn-RS"/>
        </w:rPr>
        <w:t>32.</w:t>
      </w:r>
      <w:r>
        <w:rPr>
          <w:sz w:val="28"/>
          <w:szCs w:val="28"/>
          <w:lang w:val="sr-RS"/>
        </w:rPr>
        <w:t>746,90 динара са припадајућим порезом и доприносима за обавезно социјално осигурање.</w:t>
      </w:r>
    </w:p>
    <w:p>
      <w:pPr>
        <w:pStyle w:val="Normal"/>
        <w:jc w:val="both"/>
        <w:rPr>
          <w:sz w:val="28"/>
          <w:szCs w:val="28"/>
          <w:lang w:val="sr-RS"/>
        </w:rPr>
      </w:pPr>
      <w:r>
        <w:rPr>
          <w:sz w:val="28"/>
          <w:szCs w:val="28"/>
          <w:lang w:val="sr-RS"/>
        </w:rPr>
        <w:tab/>
        <w:t>На основу члана 41. став 4. Закона о судијама (,,Службени гласник РС”, број 10/23) и члана 74. став 3. Закона о јавном тужилаштву утврђује се</w:t>
      </w:r>
      <w:r>
        <w:rPr>
          <w:sz w:val="28"/>
          <w:szCs w:val="28"/>
          <w:lang w:val="sr-Latn-RS"/>
        </w:rPr>
        <w:t xml:space="preserve"> </w:t>
      </w:r>
      <w:r>
        <w:rPr>
          <w:sz w:val="28"/>
          <w:szCs w:val="28"/>
          <w:lang w:val="sr-RS"/>
        </w:rPr>
        <w:t xml:space="preserve">основица за обрачун и исплату плата у нето износу од </w:t>
      </w:r>
      <w:r>
        <w:rPr>
          <w:sz w:val="28"/>
          <w:szCs w:val="28"/>
          <w:lang w:val="sr-Latn-RS"/>
        </w:rPr>
        <w:t>57.</w:t>
      </w:r>
      <w:r>
        <w:rPr>
          <w:sz w:val="28"/>
          <w:szCs w:val="28"/>
          <w:lang w:val="sr-RS"/>
        </w:rPr>
        <w:t>661,11</w:t>
      </w:r>
      <w:r>
        <w:rPr>
          <w:sz w:val="28"/>
          <w:szCs w:val="28"/>
          <w:lang w:val="sr-Latn-RS"/>
        </w:rPr>
        <w:t xml:space="preserve"> </w:t>
      </w:r>
      <w:r>
        <w:rPr>
          <w:sz w:val="28"/>
          <w:szCs w:val="28"/>
          <w:lang w:val="sr-RS"/>
        </w:rPr>
        <w:t>динара са припадајућим порезом и доприносима за обавезно социјално осигурање.</w:t>
        <w:tab/>
      </w:r>
    </w:p>
    <w:p>
      <w:pPr>
        <w:pStyle w:val="Normal"/>
        <w:jc w:val="both"/>
        <w:rPr>
          <w:sz w:val="28"/>
          <w:szCs w:val="28"/>
          <w:lang w:val="sr-RS"/>
        </w:rPr>
      </w:pPr>
      <w:r>
        <w:rPr>
          <w:sz w:val="28"/>
          <w:szCs w:val="28"/>
          <w:lang w:val="sr-RS"/>
        </w:rPr>
        <w:tab/>
        <w:t>У 2026. години основица из става 2. овог члана у делу који се односи на судије исплаћиваће се: 70% из извора 01 - Општи приходи и примања буџета, а 30% из прихода остварених по основу наплате судских такси које припадају правосудним органима.</w:t>
        <w:tab/>
      </w:r>
    </w:p>
    <w:p>
      <w:pPr>
        <w:pStyle w:val="Normal"/>
        <w:ind w:firstLine="709"/>
        <w:jc w:val="both"/>
        <w:rPr>
          <w:sz w:val="28"/>
          <w:szCs w:val="28"/>
          <w:lang w:val="sr-RS"/>
        </w:rPr>
      </w:pPr>
      <w:r>
        <w:rPr>
          <w:sz w:val="28"/>
          <w:szCs w:val="28"/>
          <w:lang w:val="sr-RS"/>
        </w:rPr>
        <w:t>Изузетно од става 3. овог члана, услед смањеног обима прихода остварених по основу наплате судских такси, плате судија исплаћиваће се до 30% из прихода остварених по основу наплате судских такси које припадају правосудним органима, а преостали део из извора 01 - Општи приходи и примања буџета уз претходно добијену писану сагласност министарства надлежног за послове финансија.</w:t>
      </w:r>
    </w:p>
    <w:p>
      <w:pPr>
        <w:pStyle w:val="Normal"/>
        <w:ind w:firstLine="709"/>
        <w:jc w:val="both"/>
        <w:rPr>
          <w:sz w:val="28"/>
          <w:szCs w:val="28"/>
          <w:lang w:val="sr-RS"/>
        </w:rPr>
      </w:pPr>
      <w:r>
        <w:rPr>
          <w:sz w:val="28"/>
          <w:szCs w:val="28"/>
          <w:lang w:val="sr-RS"/>
        </w:rPr>
        <w:t>На основу члана 20а став 4. Закона о Уставном суду (,,Службени гласник РС”, бр. 109/07, 99/11, 18/13-УС, 40/15-др. закон, 103/15</w:t>
      </w:r>
      <w:r>
        <w:rPr>
          <w:sz w:val="28"/>
          <w:szCs w:val="28"/>
          <w:lang w:val="sr-Latn-RS"/>
        </w:rPr>
        <w:t xml:space="preserve">, </w:t>
      </w:r>
      <w:r>
        <w:rPr>
          <w:sz w:val="28"/>
          <w:szCs w:val="28"/>
          <w:lang w:val="sr-RS"/>
        </w:rPr>
        <w:t>10/23</w:t>
      </w:r>
      <w:r>
        <w:rPr>
          <w:sz w:val="28"/>
          <w:szCs w:val="28"/>
          <w:lang w:val="sr-Latn-RS"/>
        </w:rPr>
        <w:t xml:space="preserve"> </w:t>
      </w:r>
      <w:r>
        <w:rPr>
          <w:sz w:val="28"/>
          <w:szCs w:val="28"/>
          <w:lang w:val="sr-RS"/>
        </w:rPr>
        <w:t>и 92/23) утврђује се</w:t>
      </w:r>
      <w:r>
        <w:rPr>
          <w:sz w:val="28"/>
          <w:szCs w:val="28"/>
          <w:lang w:val="sr-Latn-RS"/>
        </w:rPr>
        <w:t xml:space="preserve"> </w:t>
      </w:r>
      <w:r>
        <w:rPr>
          <w:sz w:val="28"/>
          <w:szCs w:val="28"/>
          <w:lang w:val="sr-RS"/>
        </w:rPr>
        <w:t xml:space="preserve">основица за обрачун и исплату плата председника и судија Уставног суда у нето износу од </w:t>
      </w:r>
      <w:r>
        <w:rPr>
          <w:sz w:val="28"/>
          <w:szCs w:val="28"/>
          <w:lang w:val="sr-Latn-RS"/>
        </w:rPr>
        <w:t>54.</w:t>
      </w:r>
      <w:r>
        <w:rPr>
          <w:sz w:val="28"/>
          <w:szCs w:val="28"/>
          <w:lang w:val="sr-RS"/>
        </w:rPr>
        <w:t>915</w:t>
      </w:r>
      <w:r>
        <w:rPr>
          <w:sz w:val="28"/>
          <w:szCs w:val="28"/>
          <w:lang w:val="sr-Latn-RS"/>
        </w:rPr>
        <w:t>,33</w:t>
      </w:r>
      <w:r>
        <w:rPr>
          <w:sz w:val="28"/>
          <w:szCs w:val="28"/>
          <w:lang w:val="sr-RS"/>
        </w:rPr>
        <w:t xml:space="preserve"> динара са припадајућим порезом и доприносима за обавезно социјално осигурање.</w:t>
      </w:r>
    </w:p>
    <w:p>
      <w:pPr>
        <w:pStyle w:val="Normal"/>
        <w:ind w:firstLine="709"/>
        <w:jc w:val="both"/>
        <w:rPr>
          <w:sz w:val="28"/>
          <w:szCs w:val="28"/>
          <w:lang w:val="sr-RS"/>
        </w:rPr>
      </w:pPr>
      <w:r>
        <w:rPr>
          <w:sz w:val="28"/>
          <w:szCs w:val="28"/>
          <w:lang w:val="sr-RS"/>
        </w:rPr>
        <w:t>Утврђује се јединствена основица за обрачун и исплату плата запослених у установама предшколског, основног и средњег образовања и васпитања, високог образовања и ученичког и студентског стандарда, почев од плате за јануар 2026. године.</w:t>
      </w:r>
    </w:p>
    <w:p>
      <w:pPr>
        <w:pStyle w:val="Normal"/>
        <w:ind w:firstLine="709"/>
        <w:jc w:val="both"/>
        <w:rPr>
          <w:sz w:val="28"/>
          <w:szCs w:val="28"/>
        </w:rPr>
      </w:pPr>
      <w:r>
        <w:rPr>
          <w:sz w:val="28"/>
          <w:szCs w:val="28"/>
        </w:rPr>
        <w:t>Јединствена основица за обрачун и исплату плата утврђује се и за запослене у установама социјалне заштите, почев од плате за јануар 2026. године.</w:t>
      </w:r>
    </w:p>
    <w:p>
      <w:pPr>
        <w:pStyle w:val="Normal"/>
        <w:ind w:firstLine="709"/>
        <w:jc w:val="center"/>
        <w:rPr>
          <w:sz w:val="28"/>
          <w:szCs w:val="28"/>
        </w:rPr>
      </w:pPr>
      <w:r>
        <w:rPr>
          <w:sz w:val="28"/>
          <w:szCs w:val="28"/>
        </w:rPr>
      </w:r>
    </w:p>
    <w:p>
      <w:pPr>
        <w:pStyle w:val="Normal"/>
        <w:tabs>
          <w:tab w:val="clear" w:pos="720"/>
          <w:tab w:val="left" w:pos="3261" w:leader="none"/>
        </w:tabs>
        <w:ind w:hanging="142"/>
        <w:jc w:val="center"/>
        <w:rPr>
          <w:sz w:val="28"/>
          <w:szCs w:val="28"/>
          <w:lang w:val="sr-RS"/>
        </w:rPr>
      </w:pPr>
      <w:r>
        <w:rPr>
          <w:sz w:val="28"/>
          <w:szCs w:val="28"/>
          <w:lang w:val="sr-RS"/>
        </w:rPr>
        <w:t xml:space="preserve"> </w:t>
      </w:r>
      <w:r>
        <w:rPr>
          <w:sz w:val="28"/>
          <w:szCs w:val="28"/>
          <w:lang w:val="sr-RS"/>
        </w:rPr>
        <w:t xml:space="preserve">Члан 10. </w:t>
      </w:r>
    </w:p>
    <w:p>
      <w:pPr>
        <w:pStyle w:val="Normal"/>
        <w:tabs>
          <w:tab w:val="clear" w:pos="720"/>
          <w:tab w:val="left" w:pos="4253" w:leader="none"/>
        </w:tabs>
        <w:ind w:firstLine="709"/>
        <w:jc w:val="both"/>
        <w:rPr>
          <w:sz w:val="28"/>
          <w:szCs w:val="28"/>
          <w:lang w:val="sr-RS"/>
        </w:rPr>
      </w:pPr>
      <w:r>
        <w:rPr>
          <w:sz w:val="28"/>
          <w:szCs w:val="28"/>
          <w:lang w:val="sr-RS"/>
        </w:rPr>
        <w:t>У 2026. години запосленима код осталих корисника буџетских средстава, односно корисника средстава организација за обавезно социјално осигурање плате ће се повећати за 5,1%, почев од плате за јануар 2026. године.</w:t>
      </w:r>
    </w:p>
    <w:p>
      <w:pPr>
        <w:pStyle w:val="Normal"/>
        <w:tabs>
          <w:tab w:val="clear" w:pos="720"/>
          <w:tab w:val="left" w:pos="1440" w:leader="none"/>
        </w:tabs>
        <w:jc w:val="center"/>
        <w:rPr>
          <w:sz w:val="28"/>
          <w:szCs w:val="28"/>
          <w:lang w:val="sr-RS"/>
        </w:rPr>
      </w:pPr>
      <w:r>
        <w:rPr>
          <w:sz w:val="28"/>
          <w:szCs w:val="28"/>
          <w:lang w:val="sr-RS"/>
        </w:rPr>
        <w:t>Члан 1</w:t>
      </w:r>
      <w:r>
        <w:rPr>
          <w:sz w:val="28"/>
          <w:szCs w:val="28"/>
          <w:lang w:val="sr-Latn-RS"/>
        </w:rPr>
        <w:t>1</w:t>
      </w:r>
      <w:r>
        <w:rPr>
          <w:sz w:val="28"/>
          <w:szCs w:val="28"/>
          <w:lang w:val="sr-RS"/>
        </w:rPr>
        <w:t xml:space="preserve">. </w:t>
      </w:r>
    </w:p>
    <w:p>
      <w:pPr>
        <w:pStyle w:val="Normal"/>
        <w:jc w:val="both"/>
        <w:rPr>
          <w:sz w:val="28"/>
          <w:szCs w:val="28"/>
          <w:lang w:val="sr-RS"/>
        </w:rPr>
      </w:pPr>
      <w:r>
        <w:rPr>
          <w:sz w:val="28"/>
          <w:szCs w:val="28"/>
          <w:lang w:val="sr-RS"/>
        </w:rPr>
        <w:tab/>
        <w:t>На основу члана 48. став 4. Закона о платама државних службеника и намештеника („Службени гласник РС”, бр. 62/06, 63/06-исправка, 115/06-исправка, 101/07, 99/10, 108/13, 99/14, 95/18</w:t>
      </w:r>
      <w:r>
        <w:rPr>
          <w:sz w:val="28"/>
          <w:szCs w:val="28"/>
          <w:lang w:val="sr-Latn-RS"/>
        </w:rPr>
        <w:t xml:space="preserve">, </w:t>
      </w:r>
      <w:r>
        <w:rPr>
          <w:sz w:val="28"/>
          <w:szCs w:val="28"/>
          <w:lang w:val="sr-RS"/>
        </w:rPr>
        <w:t>14/22</w:t>
      </w:r>
      <w:r>
        <w:rPr>
          <w:sz w:val="28"/>
          <w:szCs w:val="28"/>
          <w:lang w:val="sr-Latn-RS"/>
        </w:rPr>
        <w:t xml:space="preserve"> </w:t>
      </w:r>
      <w:r>
        <w:rPr>
          <w:sz w:val="28"/>
          <w:szCs w:val="28"/>
          <w:lang w:val="sr-RS"/>
        </w:rPr>
        <w:t>и</w:t>
      </w:r>
      <w:r>
        <w:rPr>
          <w:sz w:val="28"/>
          <w:szCs w:val="28"/>
          <w:lang w:val="sr-Latn-RS"/>
        </w:rPr>
        <w:t xml:space="preserve"> 19/25</w:t>
      </w:r>
      <w:r>
        <w:rPr>
          <w:sz w:val="28"/>
          <w:szCs w:val="28"/>
          <w:lang w:val="sr-RS"/>
        </w:rPr>
        <w:t>) утврђује се проценат од укупног износа средстава за плате намењен за остварене резултате рада намештеника, и то 1% месечног платног фонда намештеника за месец који претходи месецу за који се исплаћује плата у коју се укључује додатак за остварене резултате рада намештеника, у складу са обезбеђеним средствима.</w:t>
      </w:r>
    </w:p>
    <w:p>
      <w:pPr>
        <w:pStyle w:val="Normal"/>
        <w:ind w:firstLine="720"/>
        <w:jc w:val="both"/>
        <w:rPr>
          <w:sz w:val="28"/>
          <w:szCs w:val="28"/>
          <w:lang w:val="sr-RS"/>
        </w:rPr>
      </w:pPr>
      <w:r>
        <w:rPr>
          <w:sz w:val="28"/>
          <w:szCs w:val="28"/>
          <w:lang w:val="sr-RS"/>
        </w:rPr>
        <w:t>У 2026. години планирана су средства за напредовање државних службеника.</w:t>
      </w:r>
    </w:p>
    <w:p>
      <w:pPr>
        <w:pStyle w:val="Normal"/>
        <w:tabs>
          <w:tab w:val="clear" w:pos="720"/>
          <w:tab w:val="left" w:pos="4253" w:leader="none"/>
        </w:tabs>
        <w:ind w:firstLine="709"/>
        <w:jc w:val="both"/>
        <w:rPr>
          <w:sz w:val="28"/>
          <w:szCs w:val="28"/>
          <w:lang w:val="sr-RS"/>
        </w:rPr>
      </w:pPr>
      <w:r>
        <w:rPr>
          <w:sz w:val="28"/>
          <w:szCs w:val="28"/>
          <w:lang w:val="sr-RS"/>
        </w:rPr>
      </w:r>
    </w:p>
    <w:p>
      <w:pPr>
        <w:pStyle w:val="Normal"/>
        <w:shd w:val="clear" w:color="auto" w:fill="FFFFFF"/>
        <w:spacing w:beforeAutospacing="1" w:afterAutospacing="1"/>
        <w:jc w:val="center"/>
        <w:rPr>
          <w:b/>
          <w:sz w:val="28"/>
          <w:szCs w:val="28"/>
          <w:lang w:val="sr-RS" w:eastAsia="en-US"/>
        </w:rPr>
      </w:pPr>
      <w:r>
        <w:rPr>
          <w:b/>
          <w:sz w:val="28"/>
          <w:szCs w:val="28"/>
          <w:lang w:val="sr-RS" w:eastAsia="en-US"/>
        </w:rPr>
        <w:t>Члан 1</w:t>
      </w:r>
      <w:r>
        <w:rPr>
          <w:b/>
          <w:sz w:val="28"/>
          <w:szCs w:val="28"/>
          <w:lang w:val="sr-Latn-RS" w:eastAsia="en-US"/>
        </w:rPr>
        <w:t>4</w:t>
      </w:r>
      <w:r>
        <w:rPr>
          <w:b/>
          <w:sz w:val="28"/>
          <w:szCs w:val="28"/>
          <w:lang w:val="sr-RS" w:eastAsia="en-US"/>
        </w:rPr>
        <w:t>.</w:t>
      </w:r>
    </w:p>
    <w:p>
      <w:pPr>
        <w:pStyle w:val="Normal"/>
        <w:ind w:firstLine="720"/>
        <w:jc w:val="both"/>
        <w:rPr>
          <w:sz w:val="28"/>
          <w:szCs w:val="28"/>
          <w:lang w:val="sr-RS"/>
        </w:rPr>
      </w:pPr>
      <w:r>
        <w:rPr>
          <w:sz w:val="28"/>
          <w:szCs w:val="28"/>
          <w:lang w:val="sr-RS"/>
        </w:rPr>
        <w:t>Директни корисници буџетских средстава Републике Србије пре најављивања нових обавеза на начин прописан чланом 56. став 3. Закона о буџетском систему („Службени гласник РС”, бр. 54/09, 73/10, 101/10, 101/11, 93/12, 62/13, 63/13-исправка, 108/13, 142/14, 68/15-др. закон, 103/15, 99/16, 113/17, 95/18, 31/19</w:t>
      </w:r>
      <w:r>
        <w:rPr>
          <w:sz w:val="28"/>
          <w:szCs w:val="28"/>
          <w:lang w:val="en-GB"/>
        </w:rPr>
        <w:t xml:space="preserve">, </w:t>
      </w:r>
      <w:r>
        <w:rPr>
          <w:sz w:val="28"/>
          <w:szCs w:val="28"/>
          <w:lang w:val="sr-RS"/>
        </w:rPr>
        <w:t xml:space="preserve">72/19, 149/20, 118/21, 118/21-др. закон, 138/22, 92/23 и 94/24) у систему извршења буџета морају да пријаве преузете, а неизвршене обавезе из претходне буџетске године. </w:t>
      </w:r>
    </w:p>
    <w:p>
      <w:pPr>
        <w:pStyle w:val="Normal"/>
        <w:ind w:firstLine="720"/>
        <w:jc w:val="both"/>
        <w:rPr>
          <w:sz w:val="28"/>
          <w:szCs w:val="28"/>
          <w:lang w:val="sr-RS"/>
        </w:rPr>
      </w:pPr>
      <w:r>
        <w:rPr>
          <w:sz w:val="28"/>
          <w:szCs w:val="28"/>
          <w:lang w:val="sr-RS"/>
        </w:rPr>
      </w:r>
    </w:p>
    <w:p>
      <w:pPr>
        <w:pStyle w:val="Normal"/>
        <w:shd w:val="clear" w:color="auto" w:fill="FFFFFF"/>
        <w:spacing w:before="0" w:after="150"/>
        <w:jc w:val="center"/>
        <w:rPr>
          <w:b/>
          <w:sz w:val="28"/>
          <w:szCs w:val="28"/>
          <w:lang w:val="sr-RS" w:eastAsia="en-US"/>
        </w:rPr>
      </w:pPr>
      <w:r>
        <w:rPr>
          <w:b/>
          <w:sz w:val="28"/>
          <w:szCs w:val="28"/>
          <w:lang w:val="sr-RS" w:eastAsia="en-US"/>
        </w:rPr>
        <w:t>Члан 40.</w:t>
      </w:r>
    </w:p>
    <w:p>
      <w:pPr>
        <w:pStyle w:val="Normal"/>
        <w:jc w:val="both"/>
        <w:rPr>
          <w:rFonts w:ascii="Open Sans" w:hAnsi="Open Sans" w:cs="Open Sans"/>
          <w:b/>
          <w:bCs/>
          <w:sz w:val="28"/>
          <w:szCs w:val="28"/>
          <w:lang w:val="sr-RS"/>
        </w:rPr>
      </w:pPr>
      <w:r>
        <w:rPr>
          <w:sz w:val="28"/>
          <w:szCs w:val="28"/>
          <w:lang w:val="sr-RS"/>
        </w:rPr>
        <w:t>Изузетно од одредбе члана 37. Закона о финансирању локалне самоуправе („Службени гласник РС”, бр. 62/06, 47/11, 93/12,</w:t>
      </w:r>
      <w:r>
        <w:rPr>
          <w:sz w:val="28"/>
          <w:szCs w:val="28"/>
        </w:rPr>
        <w:t xml:space="preserve"> 83/16, 104/16 </w:t>
      </w:r>
      <w:r>
        <w:rPr>
          <w:sz w:val="28"/>
          <w:szCs w:val="28"/>
          <w:lang w:val="sr-RS"/>
        </w:rPr>
        <w:t>-</w:t>
      </w:r>
      <w:r>
        <w:rPr>
          <w:sz w:val="28"/>
          <w:szCs w:val="28"/>
        </w:rPr>
        <w:t xml:space="preserve"> </w:t>
      </w:r>
      <w:r>
        <w:rPr>
          <w:sz w:val="28"/>
          <w:szCs w:val="28"/>
          <w:lang w:val="sr-RS"/>
        </w:rPr>
        <w:t>др. закон</w:t>
      </w:r>
      <w:r>
        <w:rPr>
          <w:sz w:val="28"/>
          <w:szCs w:val="28"/>
        </w:rPr>
        <w:t>, 95/18</w:t>
      </w:r>
      <w:r>
        <w:rPr>
          <w:sz w:val="28"/>
          <w:szCs w:val="28"/>
          <w:lang w:val="sr-RS"/>
        </w:rPr>
        <w:t xml:space="preserve"> -</w:t>
      </w:r>
      <w:r>
        <w:rPr>
          <w:sz w:val="28"/>
          <w:szCs w:val="28"/>
        </w:rPr>
        <w:t xml:space="preserve"> </w:t>
      </w:r>
      <w:r>
        <w:rPr>
          <w:sz w:val="28"/>
          <w:szCs w:val="28"/>
          <w:lang w:val="sr-RS"/>
        </w:rPr>
        <w:t>др. закон</w:t>
      </w:r>
      <w:r>
        <w:rPr>
          <w:sz w:val="28"/>
          <w:szCs w:val="28"/>
        </w:rPr>
        <w:t xml:space="preserve"> </w:t>
      </w:r>
      <w:r>
        <w:rPr>
          <w:sz w:val="28"/>
          <w:szCs w:val="28"/>
          <w:lang w:val="sr-RS"/>
        </w:rPr>
        <w:t xml:space="preserve">и </w:t>
      </w:r>
      <w:r>
        <w:rPr>
          <w:sz w:val="28"/>
          <w:szCs w:val="28"/>
        </w:rPr>
        <w:t xml:space="preserve">111/21 </w:t>
      </w:r>
      <w:r>
        <w:rPr>
          <w:sz w:val="28"/>
          <w:szCs w:val="28"/>
          <w:lang w:val="sr-RS"/>
        </w:rPr>
        <w:t>-</w:t>
      </w:r>
      <w:r>
        <w:rPr>
          <w:sz w:val="28"/>
          <w:szCs w:val="28"/>
        </w:rPr>
        <w:t xml:space="preserve"> </w:t>
      </w:r>
      <w:r>
        <w:rPr>
          <w:sz w:val="28"/>
          <w:szCs w:val="28"/>
          <w:lang w:val="sr-RS"/>
        </w:rPr>
        <w:t>др. закон), годишњи износ укупног ненаменског трансфера који се распоређује јединицама локалне самоуправе, у 202</w:t>
      </w:r>
      <w:r>
        <w:rPr>
          <w:sz w:val="28"/>
          <w:szCs w:val="28"/>
          <w:lang w:val="sr-Latn-RS"/>
        </w:rPr>
        <w:t>6</w:t>
      </w:r>
      <w:r>
        <w:rPr>
          <w:sz w:val="28"/>
          <w:szCs w:val="28"/>
          <w:lang w:val="sr-RS"/>
        </w:rPr>
        <w:t>. години утврђује се у укупном износу од 33.307.366.000</w:t>
      </w:r>
      <w:r>
        <w:rPr>
          <w:b/>
          <w:bCs/>
          <w:sz w:val="28"/>
          <w:szCs w:val="28"/>
          <w:lang w:val="sr-RS"/>
        </w:rPr>
        <w:t xml:space="preserve"> </w:t>
      </w:r>
      <w:r>
        <w:rPr>
          <w:sz w:val="28"/>
          <w:szCs w:val="28"/>
          <w:lang w:val="sr-RS"/>
        </w:rPr>
        <w:t>динара.</w:t>
      </w:r>
      <w:r>
        <w:rPr>
          <w:rFonts w:cs="Open Sans" w:ascii="Open Sans" w:hAnsi="Open Sans"/>
          <w:b/>
          <w:bCs/>
          <w:sz w:val="28"/>
          <w:szCs w:val="28"/>
        </w:rPr>
        <w:t xml:space="preserve"> </w:t>
      </w:r>
    </w:p>
    <w:p>
      <w:pPr>
        <w:pStyle w:val="Normal"/>
        <w:jc w:val="both"/>
        <w:rPr>
          <w:i/>
          <w:i/>
          <w:iCs/>
          <w:sz w:val="28"/>
          <w:szCs w:val="28"/>
          <w:lang w:val="sr-RS"/>
        </w:rPr>
      </w:pPr>
      <w:r>
        <w:rPr>
          <w:i/>
          <w:iCs/>
          <w:sz w:val="28"/>
          <w:szCs w:val="28"/>
          <w:lang w:val="sr-RS"/>
        </w:rPr>
      </w:r>
    </w:p>
    <w:p>
      <w:pPr>
        <w:pStyle w:val="Normal"/>
        <w:jc w:val="both"/>
        <w:rPr>
          <w:sz w:val="28"/>
          <w:szCs w:val="28"/>
          <w:lang w:val="sr-RS"/>
        </w:rPr>
      </w:pPr>
      <w:r>
        <w:rPr>
          <w:sz w:val="28"/>
          <w:szCs w:val="28"/>
          <w:lang w:val="sr-RS"/>
        </w:rPr>
        <w:tab/>
        <w:t xml:space="preserve">Расподела трансфера из става 1. овог члана вршиће се у износима исказаним у следећој табели: </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ab/>
      </w:r>
    </w:p>
    <w:tbl>
      <w:tblPr>
        <w:tblW w:w="8715" w:type="dxa"/>
        <w:jc w:val="left"/>
        <w:tblInd w:w="2313" w:type="dxa"/>
        <w:tblLayout w:type="fixed"/>
        <w:tblCellMar>
          <w:top w:w="0" w:type="dxa"/>
          <w:left w:w="108" w:type="dxa"/>
          <w:bottom w:w="0" w:type="dxa"/>
          <w:right w:w="108" w:type="dxa"/>
        </w:tblCellMar>
        <w:tblLook w:firstRow="1" w:noVBand="1" w:lastRow="0" w:firstColumn="1" w:lastColumn="0" w:noHBand="0" w:val="04a0"/>
      </w:tblPr>
      <w:tblGrid>
        <w:gridCol w:w="2905"/>
        <w:gridCol w:w="2905"/>
        <w:gridCol w:w="2905"/>
      </w:tblGrid>
      <w:tr>
        <w:trPr>
          <w:trHeight w:val="332" w:hRule="atLeast"/>
        </w:trPr>
        <w:tc>
          <w:tcPr>
            <w:tcW w:w="2905" w:type="dxa"/>
            <w:tcBorders>
              <w:top w:val="single" w:sz="4" w:space="0" w:color="000000"/>
              <w:left w:val="single" w:sz="4" w:space="0" w:color="000000"/>
              <w:bottom w:val="single" w:sz="4" w:space="0" w:color="000000"/>
              <w:right w:val="single" w:sz="4" w:space="0" w:color="000000"/>
            </w:tcBorders>
          </w:tcPr>
          <w:p>
            <w:pPr>
              <w:pStyle w:val="Normal"/>
              <w:spacing w:before="0" w:after="150"/>
              <w:jc w:val="both"/>
              <w:rPr>
                <w:rFonts w:eastAsia="TimesNewRomanPSMT"/>
                <w:b/>
                <w:sz w:val="28"/>
                <w:szCs w:val="28"/>
                <w:lang w:val="sr-RS" w:eastAsia="en-US"/>
              </w:rPr>
            </w:pPr>
            <w:r>
              <w:rPr>
                <w:rFonts w:eastAsia="TimesNewRomanPSMT"/>
                <w:b/>
                <w:sz w:val="28"/>
                <w:szCs w:val="28"/>
                <w:lang w:val="sr-RS" w:eastAsia="en-US"/>
              </w:rPr>
              <w:t>7.</w:t>
            </w:r>
          </w:p>
        </w:tc>
        <w:tc>
          <w:tcPr>
            <w:tcW w:w="2905" w:type="dxa"/>
            <w:tcBorders>
              <w:top w:val="single" w:sz="4" w:space="0" w:color="000000"/>
              <w:left w:val="single" w:sz="4" w:space="0" w:color="000000"/>
              <w:bottom w:val="single" w:sz="4" w:space="0" w:color="000000"/>
              <w:right w:val="single" w:sz="4" w:space="0" w:color="000000"/>
            </w:tcBorders>
          </w:tcPr>
          <w:p>
            <w:pPr>
              <w:pStyle w:val="Normal"/>
              <w:spacing w:before="0" w:after="150"/>
              <w:jc w:val="both"/>
              <w:rPr>
                <w:rFonts w:eastAsia="TimesNewRomanPSMT"/>
                <w:b/>
                <w:sz w:val="28"/>
                <w:szCs w:val="28"/>
                <w:lang w:val="sr-RS" w:eastAsia="en-US"/>
              </w:rPr>
            </w:pPr>
            <w:r>
              <w:rPr>
                <w:rFonts w:eastAsia="TimesNewRomanPSMT"/>
                <w:b/>
                <w:sz w:val="28"/>
                <w:szCs w:val="28"/>
                <w:lang w:val="sr-RS" w:eastAsia="en-US"/>
              </w:rPr>
              <w:t>АРИЉЕ</w:t>
            </w:r>
          </w:p>
        </w:tc>
        <w:tc>
          <w:tcPr>
            <w:tcW w:w="2905" w:type="dxa"/>
            <w:tcBorders>
              <w:top w:val="single" w:sz="4" w:space="0" w:color="000000"/>
              <w:left w:val="single" w:sz="4" w:space="0" w:color="000000"/>
              <w:bottom w:val="single" w:sz="4" w:space="0" w:color="000000"/>
              <w:right w:val="single" w:sz="4" w:space="0" w:color="000000"/>
            </w:tcBorders>
          </w:tcPr>
          <w:p>
            <w:pPr>
              <w:pStyle w:val="Normal"/>
              <w:spacing w:before="0" w:after="150"/>
              <w:jc w:val="both"/>
              <w:rPr>
                <w:rFonts w:eastAsia="TimesNewRomanPSMT"/>
                <w:b/>
                <w:sz w:val="28"/>
                <w:szCs w:val="28"/>
                <w:lang w:val="sr-RS" w:eastAsia="en-US"/>
              </w:rPr>
            </w:pPr>
            <w:r>
              <w:rPr>
                <w:rFonts w:eastAsia="TimesNewRomanPSMT"/>
                <w:b/>
                <w:sz w:val="28"/>
                <w:szCs w:val="28"/>
                <w:lang w:val="sr-RS" w:eastAsia="en-US"/>
              </w:rPr>
              <w:t>91.032.672,00</w:t>
            </w:r>
          </w:p>
        </w:tc>
      </w:tr>
    </w:tbl>
    <w:p>
      <w:pPr>
        <w:pStyle w:val="Normal"/>
        <w:jc w:val="center"/>
        <w:rPr>
          <w:rFonts w:eastAsia="TimesNewRomanPSMT"/>
          <w:sz w:val="28"/>
          <w:szCs w:val="28"/>
          <w:lang w:val="sr-RS" w:eastAsia="en-US"/>
        </w:rPr>
      </w:pPr>
      <w:r>
        <w:rPr>
          <w:rFonts w:eastAsia="TimesNewRomanPSMT"/>
          <w:sz w:val="28"/>
          <w:szCs w:val="28"/>
          <w:lang w:val="sr-RS" w:eastAsia="en-US"/>
        </w:rPr>
      </w:r>
    </w:p>
    <w:p>
      <w:pPr>
        <w:pStyle w:val="Normal"/>
        <w:jc w:val="center"/>
        <w:rPr>
          <w:rFonts w:eastAsia="TimesNewRomanPSMT"/>
          <w:b/>
          <w:sz w:val="28"/>
          <w:szCs w:val="28"/>
          <w:lang w:val="sr-RS" w:eastAsia="en-US"/>
        </w:rPr>
      </w:pPr>
      <w:r>
        <w:rPr>
          <w:rFonts w:eastAsia="TimesNewRomanPSMT"/>
          <w:b/>
          <w:sz w:val="28"/>
          <w:szCs w:val="28"/>
          <w:lang w:eastAsia="en-US"/>
        </w:rPr>
        <w:t>Члан 4</w:t>
      </w:r>
      <w:r>
        <w:rPr>
          <w:rFonts w:eastAsia="TimesNewRomanPSMT"/>
          <w:b/>
          <w:sz w:val="28"/>
          <w:szCs w:val="28"/>
          <w:lang w:val="sr-RS" w:eastAsia="en-US"/>
        </w:rPr>
        <w:t>6</w:t>
      </w:r>
      <w:r>
        <w:rPr>
          <w:rFonts w:eastAsia="TimesNewRomanPSMT"/>
          <w:b/>
          <w:sz w:val="28"/>
          <w:szCs w:val="28"/>
          <w:lang w:eastAsia="en-US"/>
        </w:rPr>
        <w:t>.</w:t>
      </w:r>
    </w:p>
    <w:p>
      <w:pPr>
        <w:pStyle w:val="Normal"/>
        <w:jc w:val="both"/>
        <w:rPr>
          <w:rFonts w:eastAsia="TimesNewRomanPSMT"/>
          <w:sz w:val="28"/>
          <w:szCs w:val="28"/>
          <w:lang w:val="sr-RS" w:eastAsia="en-US"/>
        </w:rPr>
      </w:pPr>
      <w:r>
        <w:rPr>
          <w:rFonts w:eastAsia="TimesNewRomanPSMT"/>
          <w:sz w:val="28"/>
          <w:szCs w:val="28"/>
          <w:lang w:val="sr-RS" w:eastAsia="en-US"/>
        </w:rPr>
      </w:r>
    </w:p>
    <w:p>
      <w:pPr>
        <w:pStyle w:val="Normal"/>
        <w:ind w:firstLine="720"/>
        <w:jc w:val="both"/>
        <w:rPr>
          <w:sz w:val="28"/>
          <w:szCs w:val="28"/>
          <w:lang w:val="sr-RS"/>
        </w:rPr>
      </w:pPr>
      <w:r>
        <w:rPr>
          <w:sz w:val="28"/>
          <w:szCs w:val="28"/>
          <w:lang w:val="sr-RS"/>
        </w:rPr>
        <w:t>Локална власт у 202</w:t>
      </w:r>
      <w:r>
        <w:rPr>
          <w:sz w:val="28"/>
          <w:szCs w:val="28"/>
          <w:lang w:val="sr-Latn-RS"/>
        </w:rPr>
        <w:t>6</w:t>
      </w:r>
      <w:r>
        <w:rPr>
          <w:sz w:val="28"/>
          <w:szCs w:val="28"/>
          <w:lang w:val="sr-RS"/>
        </w:rPr>
        <w:t>. години планира укупна средства потребна за исплату плата запослених које се финансирају из буџета локалне власти, тако да масу средстава за исплату дванаест месечних плата планирају полазећи од нивоа плата исплаћених за септембар 202</w:t>
      </w:r>
      <w:r>
        <w:rPr>
          <w:sz w:val="28"/>
          <w:szCs w:val="28"/>
          <w:lang w:val="sr-Latn-RS"/>
        </w:rPr>
        <w:t>5</w:t>
      </w:r>
      <w:r>
        <w:rPr>
          <w:sz w:val="28"/>
          <w:szCs w:val="28"/>
          <w:lang w:val="sr-RS"/>
        </w:rPr>
        <w:t>. године, као и увећања плата из члана 10. овог закона.</w:t>
      </w:r>
    </w:p>
    <w:p>
      <w:pPr>
        <w:pStyle w:val="Normal"/>
        <w:ind w:firstLine="708"/>
        <w:jc w:val="both"/>
        <w:rPr>
          <w:sz w:val="28"/>
          <w:szCs w:val="28"/>
          <w:lang w:val="sr-RS"/>
        </w:rPr>
      </w:pPr>
      <w:r>
        <w:rPr>
          <w:sz w:val="28"/>
          <w:szCs w:val="28"/>
          <w:lang w:val="sr-RS"/>
        </w:rPr>
        <w:t>Укупну масу средстава за плате треба умањити за плате запослених код корисника буџетских средстава које су се финансирале из буџета локалне власти са апропријација економских класификација 411 -</w:t>
      </w:r>
      <w:r>
        <w:rPr>
          <w:sz w:val="28"/>
          <w:szCs w:val="28"/>
        </w:rPr>
        <w:t xml:space="preserve"> </w:t>
      </w:r>
      <w:r>
        <w:rPr>
          <w:sz w:val="28"/>
          <w:szCs w:val="28"/>
          <w:lang w:val="sr-RS"/>
        </w:rPr>
        <w:t>Плате, додаци и накнаде запослених (зараде) и 412 - Социјални доприноси на терет послодавца, а више се не финансирају, односно за масу средстава за плате запослених који су радили код тих корисника, а нису преузети у органе и службе управе или јавне службе јединице локалне власти, код којих се плате запослених финансирају из буџета локалне власти са апропријација економских класификација 411 -</w:t>
      </w:r>
      <w:r>
        <w:rPr>
          <w:sz w:val="28"/>
          <w:szCs w:val="28"/>
        </w:rPr>
        <w:t xml:space="preserve"> </w:t>
      </w:r>
      <w:r>
        <w:rPr>
          <w:sz w:val="28"/>
          <w:szCs w:val="28"/>
          <w:lang w:val="sr-RS"/>
        </w:rPr>
        <w:t xml:space="preserve">Плате, додаци и накнаде запослених (зараде) и 412 - Социјални доприноси на терет послодавца. </w:t>
      </w:r>
    </w:p>
    <w:p>
      <w:pPr>
        <w:pStyle w:val="Normal"/>
        <w:ind w:firstLine="708"/>
        <w:jc w:val="both"/>
        <w:rPr>
          <w:sz w:val="28"/>
          <w:szCs w:val="28"/>
          <w:lang w:val="sr-RS"/>
        </w:rPr>
      </w:pPr>
      <w:r>
        <w:rPr>
          <w:sz w:val="28"/>
          <w:szCs w:val="28"/>
          <w:lang w:val="sr-RS"/>
        </w:rPr>
        <w:t>Уколико локална власт не планира у својим одлукама o буџету за 202</w:t>
      </w:r>
      <w:r>
        <w:rPr>
          <w:sz w:val="28"/>
          <w:szCs w:val="28"/>
          <w:lang w:val="sr-Latn-RS"/>
        </w:rPr>
        <w:t>6</w:t>
      </w:r>
      <w:r>
        <w:rPr>
          <w:sz w:val="28"/>
          <w:szCs w:val="28"/>
          <w:lang w:val="sr-RS"/>
        </w:rPr>
        <w:t>. годину и не извршава укупна средства за обрачун и исплату плата на начин утврђен у ст. 1. и 2. овог члана, 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док се висина средстава за плате не усклади са ограничењем из ст. 1. и 2. овог члана.</w:t>
      </w:r>
    </w:p>
    <w:p>
      <w:pPr>
        <w:pStyle w:val="Normal"/>
        <w:ind w:firstLine="720"/>
        <w:jc w:val="both"/>
        <w:rPr>
          <w:sz w:val="28"/>
          <w:szCs w:val="28"/>
          <w:lang w:val="sr-RS"/>
        </w:rPr>
      </w:pPr>
      <w:r>
        <w:rPr>
          <w:sz w:val="28"/>
          <w:szCs w:val="28"/>
          <w:lang w:val="sr-RS"/>
        </w:rPr>
        <w:t>У складу са чланом 2. тачка 31), чланом 54. и чланом 56. став 4. Закона о буџетском систему у буџетској 202</w:t>
      </w:r>
      <w:r>
        <w:rPr>
          <w:sz w:val="28"/>
          <w:szCs w:val="28"/>
          <w:lang w:val="sr-Latn-RS"/>
        </w:rPr>
        <w:t>6</w:t>
      </w:r>
      <w:r>
        <w:rPr>
          <w:sz w:val="28"/>
          <w:szCs w:val="28"/>
          <w:lang w:val="sr-RS"/>
        </w:rPr>
        <w:t xml:space="preserve">. години не може се вршити обрачун и исплата поклона у новцу, божићних, годишњих и других врста награда и бонуса </w:t>
      </w:r>
      <w:r>
        <w:rPr>
          <w:sz w:val="28"/>
          <w:szCs w:val="28"/>
        </w:rPr>
        <w:t>и примања запослених ради побољшања материјалног положаја и услова рада</w:t>
      </w:r>
      <w:r>
        <w:rPr>
          <w:sz w:val="28"/>
          <w:szCs w:val="28"/>
          <w:lang w:val="sr-RS"/>
        </w:rPr>
        <w:t xml:space="preserve">, као и других примања из члана 120. став 1. тачка 4) Закона о раду предвиђених посебним и појединачним колективним уговорима и другим актима, за директне и индиректне кориснике буџетских средстава локалне власти, осим јубиларних награда за запослене и новчаних честитки за децу запослених. </w:t>
      </w:r>
    </w:p>
    <w:p>
      <w:pPr>
        <w:pStyle w:val="Normal"/>
        <w:ind w:firstLine="720"/>
        <w:jc w:val="both"/>
        <w:rPr>
          <w:sz w:val="28"/>
          <w:szCs w:val="28"/>
          <w:lang w:val="sr-RS"/>
        </w:rPr>
      </w:pPr>
      <w:r>
        <w:rPr>
          <w:sz w:val="28"/>
          <w:szCs w:val="28"/>
          <w:lang w:val="sr-RS"/>
        </w:rPr>
        <w:t xml:space="preserve"> </w:t>
      </w:r>
      <w:r>
        <w:rPr>
          <w:sz w:val="28"/>
          <w:szCs w:val="28"/>
          <w:lang w:val="sr-RS"/>
        </w:rPr>
        <w:t>У 202</w:t>
      </w:r>
      <w:r>
        <w:rPr>
          <w:sz w:val="28"/>
          <w:szCs w:val="28"/>
          <w:lang w:val="sr-Latn-RS"/>
        </w:rPr>
        <w:t>6</w:t>
      </w:r>
      <w:r>
        <w:rPr>
          <w:sz w:val="28"/>
          <w:szCs w:val="28"/>
          <w:lang w:val="sr-RS"/>
        </w:rPr>
        <w:t>. години не могу се исплаћивати запосленима код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w:t>
      </w:r>
    </w:p>
    <w:p>
      <w:pPr>
        <w:pStyle w:val="Normal"/>
        <w:ind w:firstLine="720"/>
        <w:jc w:val="both"/>
        <w:rPr>
          <w:sz w:val="28"/>
          <w:szCs w:val="28"/>
          <w:lang w:val="sr-RS"/>
        </w:rPr>
      </w:pPr>
      <w:r>
        <w:rPr>
          <w:sz w:val="28"/>
          <w:szCs w:val="28"/>
          <w:lang w:val="sr-RS"/>
        </w:rPr>
        <w:t>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у случају да локална власт поступи супротно ст. 4. и 5. овог члана.</w:t>
      </w:r>
    </w:p>
    <w:p>
      <w:pPr>
        <w:pStyle w:val="Normal"/>
        <w:ind w:firstLine="708"/>
        <w:jc w:val="both"/>
        <w:rPr>
          <w:sz w:val="28"/>
          <w:szCs w:val="28"/>
          <w:lang w:val="sr-RS"/>
        </w:rPr>
      </w:pPr>
      <w:r>
        <w:rPr>
          <w:sz w:val="28"/>
          <w:szCs w:val="28"/>
          <w:lang w:val="sr-RS"/>
        </w:rPr>
        <w:t>Уколико јединице локалне самоуправе не обезбеде у буџету и не исплате јубиларне награде запосленима у основним и средњим школама који то право стичу у 202</w:t>
      </w:r>
      <w:r>
        <w:rPr>
          <w:sz w:val="28"/>
          <w:szCs w:val="28"/>
          <w:lang w:val="sr-Latn-RS"/>
        </w:rPr>
        <w:t>6</w:t>
      </w:r>
      <w:r>
        <w:rPr>
          <w:sz w:val="28"/>
          <w:szCs w:val="28"/>
          <w:lang w:val="sr-RS"/>
        </w:rPr>
        <w:t>. години, министар надлежан за послове финансија може, на предлог министарства надлежног за послове образовања, привремено обуставити пренос трансферних средстава из буџета Републике Србије, односно припадајућег дела пореза на зараде</w:t>
      </w:r>
      <w:r>
        <w:rPr>
          <w:sz w:val="28"/>
          <w:szCs w:val="28"/>
          <w:lang w:val="sr-Latn-RS"/>
        </w:rPr>
        <w:t xml:space="preserve"> </w:t>
      </w:r>
      <w:r>
        <w:rPr>
          <w:sz w:val="28"/>
          <w:szCs w:val="28"/>
          <w:lang w:val="sr-RS"/>
        </w:rPr>
        <w:t>и пореза на добит правних лица, у износу неисплаћених јубиларних награда запосленима у основним и средњим школама из буџета јединице локалне самоуправе.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bCs/>
          <w:sz w:val="28"/>
          <w:szCs w:val="28"/>
          <w:lang w:val="sr-RS" w:eastAsia="en-US"/>
        </w:rPr>
      </w:pPr>
      <w:r>
        <w:rPr>
          <w:sz w:val="28"/>
          <w:szCs w:val="28"/>
          <w:lang w:val="sr-RS"/>
        </w:rPr>
        <w:tab/>
      </w:r>
      <w:r>
        <w:rPr>
          <w:rFonts w:eastAsia="TimesNewRomanPSMT"/>
          <w:b/>
          <w:sz w:val="28"/>
          <w:szCs w:val="28"/>
          <w:lang w:eastAsia="en-US"/>
        </w:rPr>
        <w:t>Мас</w:t>
      </w:r>
      <w:r>
        <w:rPr>
          <w:rFonts w:eastAsia="TimesNewRomanPSMT"/>
          <w:b/>
          <w:sz w:val="28"/>
          <w:szCs w:val="28"/>
          <w:lang w:val="sr-RS" w:eastAsia="en-US"/>
        </w:rPr>
        <w:t>а</w:t>
      </w:r>
      <w:r>
        <w:rPr>
          <w:rFonts w:eastAsia="TimesNewRomanPSMT"/>
          <w:b/>
          <w:sz w:val="28"/>
          <w:szCs w:val="28"/>
          <w:lang w:eastAsia="en-US"/>
        </w:rPr>
        <w:t xml:space="preserve"> средстава за </w:t>
      </w:r>
      <w:r>
        <w:rPr>
          <w:rFonts w:eastAsia="TimesNewRomanPSMT"/>
          <w:b/>
          <w:sz w:val="28"/>
          <w:szCs w:val="28"/>
          <w:lang w:val="sr-RS" w:eastAsia="en-US"/>
        </w:rPr>
        <w:t xml:space="preserve">плате </w:t>
      </w:r>
      <w:r>
        <w:rPr>
          <w:rFonts w:eastAsia="TimesNewRomanPSMT"/>
          <w:b/>
          <w:sz w:val="28"/>
          <w:szCs w:val="28"/>
          <w:lang w:eastAsia="en-US"/>
        </w:rPr>
        <w:t xml:space="preserve"> планира</w:t>
      </w:r>
      <w:r>
        <w:rPr>
          <w:rFonts w:eastAsia="TimesNewRomanPSMT"/>
          <w:b/>
          <w:sz w:val="28"/>
          <w:szCs w:val="28"/>
          <w:lang w:val="sr-RS" w:eastAsia="en-US"/>
        </w:rPr>
        <w:t>на је у</w:t>
      </w:r>
      <w:r>
        <w:rPr>
          <w:b/>
          <w:bCs/>
          <w:sz w:val="28"/>
          <w:szCs w:val="28"/>
          <w:lang w:val="sr-RS" w:eastAsia="en-US"/>
        </w:rPr>
        <w:t xml:space="preserve"> </w:t>
      </w:r>
      <w:r>
        <w:rPr>
          <w:b/>
          <w:bCs/>
          <w:sz w:val="28"/>
          <w:szCs w:val="28"/>
          <w:lang w:eastAsia="en-US"/>
        </w:rPr>
        <w:t xml:space="preserve">складу са </w:t>
      </w:r>
      <w:r>
        <w:rPr>
          <w:b/>
          <w:bCs/>
          <w:sz w:val="28"/>
          <w:szCs w:val="28"/>
          <w:lang w:val="sr-RS" w:eastAsia="en-US"/>
        </w:rPr>
        <w:t>Ревидираним у</w:t>
      </w:r>
      <w:r>
        <w:rPr>
          <w:b/>
          <w:bCs/>
          <w:sz w:val="28"/>
          <w:szCs w:val="28"/>
          <w:lang w:eastAsia="en-US"/>
        </w:rPr>
        <w:t>путством за припрему Одлуке о буџету локалне власти за 202</w:t>
      </w:r>
      <w:r>
        <w:rPr>
          <w:b/>
          <w:bCs/>
          <w:sz w:val="28"/>
          <w:szCs w:val="28"/>
          <w:lang w:val="sr-RS" w:eastAsia="en-US"/>
        </w:rPr>
        <w:t>6</w:t>
      </w:r>
      <w:r>
        <w:rPr>
          <w:b/>
          <w:bCs/>
          <w:sz w:val="28"/>
          <w:szCs w:val="28"/>
          <w:lang w:eastAsia="en-US"/>
        </w:rPr>
        <w:t>. годину са пројекцијама за 202</w:t>
      </w:r>
      <w:r>
        <w:rPr>
          <w:b/>
          <w:bCs/>
          <w:sz w:val="28"/>
          <w:szCs w:val="28"/>
          <w:lang w:val="sr-RS" w:eastAsia="en-US"/>
        </w:rPr>
        <w:t>7</w:t>
      </w:r>
      <w:r>
        <w:rPr>
          <w:b/>
          <w:bCs/>
          <w:sz w:val="28"/>
          <w:szCs w:val="28"/>
          <w:lang w:eastAsia="en-US"/>
        </w:rPr>
        <w:t>. и 202</w:t>
      </w:r>
      <w:r>
        <w:rPr>
          <w:b/>
          <w:bCs/>
          <w:sz w:val="28"/>
          <w:szCs w:val="28"/>
          <w:lang w:val="sr-RS" w:eastAsia="en-US"/>
        </w:rPr>
        <w:t>8</w:t>
      </w:r>
      <w:r>
        <w:rPr>
          <w:b/>
          <w:bCs/>
          <w:sz w:val="28"/>
          <w:szCs w:val="28"/>
          <w:lang w:eastAsia="en-US"/>
        </w:rPr>
        <w:t xml:space="preserve"> </w:t>
      </w:r>
      <w:r>
        <w:rPr>
          <w:b/>
          <w:bCs/>
          <w:sz w:val="28"/>
          <w:szCs w:val="28"/>
          <w:lang w:val="sr-RS" w:eastAsia="en-US"/>
        </w:rPr>
        <w:t>г</w:t>
      </w:r>
      <w:r>
        <w:rPr>
          <w:b/>
          <w:bCs/>
          <w:sz w:val="28"/>
          <w:szCs w:val="28"/>
          <w:lang w:eastAsia="en-US"/>
        </w:rPr>
        <w:t>одину</w:t>
      </w:r>
      <w:r>
        <w:rPr>
          <w:b/>
          <w:bCs/>
          <w:sz w:val="28"/>
          <w:szCs w:val="28"/>
          <w:lang w:val="sr-RS" w:eastAsia="en-US"/>
        </w:rPr>
        <w:t>. У прилогу се налазе</w:t>
      </w:r>
      <w:r>
        <w:rPr>
          <w:b/>
          <w:bCs/>
          <w:sz w:val="28"/>
          <w:szCs w:val="28"/>
          <w:lang w:eastAsia="en-US"/>
        </w:rPr>
        <w:t xml:space="preserve"> табелe</w:t>
      </w:r>
      <w:r>
        <w:rPr>
          <w:b/>
          <w:bCs/>
          <w:sz w:val="28"/>
          <w:szCs w:val="28"/>
          <w:lang w:val="sr-RS" w:eastAsia="en-US"/>
        </w:rPr>
        <w:t xml:space="preserve"> </w:t>
      </w:r>
      <w:r>
        <w:rPr>
          <w:b/>
          <w:bCs/>
          <w:sz w:val="28"/>
          <w:szCs w:val="28"/>
          <w:lang w:eastAsia="en-US"/>
        </w:rPr>
        <w:t>Преглед броја запослених и мас</w:t>
      </w:r>
      <w:r>
        <w:rPr>
          <w:b/>
          <w:bCs/>
          <w:sz w:val="28"/>
          <w:szCs w:val="28"/>
          <w:lang w:val="sr-RS" w:eastAsia="en-US"/>
        </w:rPr>
        <w:t>а</w:t>
      </w:r>
      <w:r>
        <w:rPr>
          <w:b/>
          <w:bCs/>
          <w:sz w:val="28"/>
          <w:szCs w:val="28"/>
          <w:lang w:eastAsia="en-US"/>
        </w:rPr>
        <w:t xml:space="preserve"> средстава за плате.</w:t>
      </w:r>
    </w:p>
    <w:p>
      <w:pPr>
        <w:pStyle w:val="Normal"/>
        <w:jc w:val="both"/>
        <w:rPr>
          <w:sz w:val="28"/>
          <w:szCs w:val="28"/>
          <w:lang w:val="sr-CS"/>
        </w:rPr>
      </w:pPr>
      <w:r>
        <w:rPr>
          <w:sz w:val="28"/>
          <w:szCs w:val="28"/>
          <w:lang w:val="sr-CS"/>
        </w:rPr>
        <w:t xml:space="preserve">Маса средстава за плате приказујемо у табелама 1. и 2. који су саставни део овог образложења. </w:t>
      </w:r>
    </w:p>
    <w:p>
      <w:pPr>
        <w:pStyle w:val="Normal"/>
        <w:jc w:val="both"/>
        <w:rPr>
          <w:sz w:val="28"/>
          <w:szCs w:val="28"/>
          <w:lang w:val="sr-RS"/>
        </w:rPr>
      </w:pPr>
      <w:r>
        <w:rPr>
          <w:sz w:val="28"/>
          <w:szCs w:val="28"/>
          <w:lang w:val="sr-RS"/>
        </w:rPr>
      </w:r>
    </w:p>
    <w:p>
      <w:pPr>
        <w:pStyle w:val="Normal"/>
        <w:jc w:val="both"/>
        <w:rPr>
          <w:sz w:val="28"/>
          <w:szCs w:val="28"/>
        </w:rPr>
      </w:pPr>
      <w:r>
        <w:rPr>
          <w:sz w:val="28"/>
          <w:szCs w:val="28"/>
        </w:rPr>
        <w:t>Табела 1.</w:t>
      </w:r>
    </w:p>
    <w:tbl>
      <w:tblPr>
        <w:tblW w:w="5000" w:type="pct"/>
        <w:jc w:val="left"/>
        <w:tblInd w:w="0" w:type="dxa"/>
        <w:tblLayout w:type="fixed"/>
        <w:tblCellMar>
          <w:top w:w="0" w:type="dxa"/>
          <w:left w:w="30" w:type="dxa"/>
          <w:bottom w:w="0" w:type="dxa"/>
          <w:right w:w="30" w:type="dxa"/>
        </w:tblCellMar>
        <w:tblLook w:firstRow="0" w:noVBand="0" w:lastRow="0" w:firstColumn="0" w:lastColumn="0" w:noHBand="0" w:val="0000"/>
      </w:tblPr>
      <w:tblGrid>
        <w:gridCol w:w="1097"/>
        <w:gridCol w:w="6895"/>
        <w:gridCol w:w="2044"/>
        <w:gridCol w:w="1833"/>
        <w:gridCol w:w="2417"/>
        <w:gridCol w:w="1831"/>
      </w:tblGrid>
      <w:tr>
        <w:trPr>
          <w:trHeight w:val="278" w:hRule="atLeast"/>
        </w:trPr>
        <w:tc>
          <w:tcPr>
            <w:tcW w:w="1097" w:type="dxa"/>
            <w:tcBorders>
              <w:top w:val="single" w:sz="6"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6895" w:type="dxa"/>
            <w:tcBorders>
              <w:top w:val="single" w:sz="6"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2044" w:type="dxa"/>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1833" w:type="dxa"/>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2417" w:type="dxa"/>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1831" w:type="dxa"/>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r>
      <w:tr>
        <w:trPr>
          <w:trHeight w:val="278" w:hRule="atLeast"/>
        </w:trPr>
        <w:tc>
          <w:tcPr>
            <w:tcW w:w="1097" w:type="dxa"/>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13189" w:type="dxa"/>
            <w:gridSpan w:val="4"/>
            <w:tcBorders>
              <w:top w:val="single" w:sz="2" w:space="0" w:color="000000"/>
              <w:left w:val="single" w:sz="2" w:space="0" w:color="000000"/>
              <w:bottom w:val="single" w:sz="2" w:space="0" w:color="000000"/>
              <w:right w:val="single" w:sz="2" w:space="0" w:color="000000"/>
            </w:tcBorders>
          </w:tcPr>
          <w:p>
            <w:pPr>
              <w:pStyle w:val="Normal"/>
              <w:jc w:val="center"/>
              <w:rPr>
                <w:sz w:val="28"/>
                <w:szCs w:val="28"/>
              </w:rPr>
            </w:pPr>
            <w:r>
              <w:rPr>
                <w:sz w:val="28"/>
                <w:szCs w:val="28"/>
              </w:rPr>
              <w:t>ПЛАНИРАНА МАСА СРЕДСТАВА ЗА ПЛАТЕ за 202</w:t>
            </w:r>
            <w:r>
              <w:rPr>
                <w:sz w:val="28"/>
                <w:szCs w:val="28"/>
                <w:lang w:val="sr-RS"/>
              </w:rPr>
              <w:t>6</w:t>
            </w:r>
            <w:r>
              <w:rPr>
                <w:sz w:val="28"/>
                <w:szCs w:val="28"/>
              </w:rPr>
              <w:t>. годину</w:t>
            </w:r>
          </w:p>
        </w:tc>
        <w:tc>
          <w:tcPr>
            <w:tcW w:w="1831" w:type="dxa"/>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r>
      <w:tr>
        <w:trPr>
          <w:trHeight w:val="278" w:hRule="atLeast"/>
        </w:trPr>
        <w:tc>
          <w:tcPr>
            <w:tcW w:w="1097" w:type="dxa"/>
            <w:tcBorders>
              <w:top w:val="single" w:sz="2" w:space="0" w:color="000000"/>
              <w:left w:val="single" w:sz="2" w:space="0" w:color="000000"/>
              <w:bottom w:val="single" w:sz="6" w:space="0" w:color="000000"/>
              <w:right w:val="single" w:sz="2" w:space="0" w:color="000000"/>
            </w:tcBorders>
          </w:tcPr>
          <w:p>
            <w:pPr>
              <w:pStyle w:val="Normal"/>
              <w:jc w:val="right"/>
              <w:rPr>
                <w:sz w:val="28"/>
                <w:szCs w:val="28"/>
              </w:rPr>
            </w:pPr>
            <w:r>
              <w:rPr>
                <w:sz w:val="28"/>
                <w:szCs w:val="28"/>
              </w:rPr>
            </w:r>
          </w:p>
        </w:tc>
        <w:tc>
          <w:tcPr>
            <w:tcW w:w="6895" w:type="dxa"/>
            <w:tcBorders>
              <w:top w:val="single" w:sz="2" w:space="0" w:color="000000"/>
              <w:left w:val="single" w:sz="2" w:space="0" w:color="000000"/>
              <w:bottom w:val="single" w:sz="6" w:space="0" w:color="000000"/>
              <w:right w:val="single" w:sz="2" w:space="0" w:color="000000"/>
            </w:tcBorders>
          </w:tcPr>
          <w:p>
            <w:pPr>
              <w:pStyle w:val="Normal"/>
              <w:jc w:val="right"/>
              <w:rPr>
                <w:sz w:val="28"/>
                <w:szCs w:val="28"/>
              </w:rPr>
            </w:pPr>
            <w:r>
              <w:rPr>
                <w:sz w:val="28"/>
                <w:szCs w:val="28"/>
              </w:rPr>
            </w:r>
          </w:p>
        </w:tc>
        <w:tc>
          <w:tcPr>
            <w:tcW w:w="2044" w:type="dxa"/>
            <w:tcBorders>
              <w:top w:val="single" w:sz="2" w:space="0" w:color="000000"/>
              <w:left w:val="single" w:sz="2" w:space="0" w:color="000000"/>
              <w:bottom w:val="single" w:sz="6" w:space="0" w:color="000000"/>
              <w:right w:val="single" w:sz="2" w:space="0" w:color="000000"/>
            </w:tcBorders>
          </w:tcPr>
          <w:p>
            <w:pPr>
              <w:pStyle w:val="Normal"/>
              <w:jc w:val="right"/>
              <w:rPr>
                <w:sz w:val="28"/>
                <w:szCs w:val="28"/>
              </w:rPr>
            </w:pPr>
            <w:r>
              <w:rPr>
                <w:sz w:val="28"/>
                <w:szCs w:val="28"/>
              </w:rPr>
            </w:r>
          </w:p>
        </w:tc>
        <w:tc>
          <w:tcPr>
            <w:tcW w:w="1833" w:type="dxa"/>
            <w:tcBorders>
              <w:top w:val="single" w:sz="2" w:space="0" w:color="000000"/>
              <w:left w:val="single" w:sz="2" w:space="0" w:color="000000"/>
              <w:bottom w:val="single" w:sz="6" w:space="0" w:color="000000"/>
              <w:right w:val="single" w:sz="2" w:space="0" w:color="000000"/>
            </w:tcBorders>
          </w:tcPr>
          <w:p>
            <w:pPr>
              <w:pStyle w:val="Normal"/>
              <w:jc w:val="right"/>
              <w:rPr>
                <w:sz w:val="28"/>
                <w:szCs w:val="28"/>
              </w:rPr>
            </w:pPr>
            <w:r>
              <w:rPr>
                <w:sz w:val="28"/>
                <w:szCs w:val="28"/>
              </w:rPr>
            </w:r>
          </w:p>
        </w:tc>
        <w:tc>
          <w:tcPr>
            <w:tcW w:w="2417" w:type="dxa"/>
            <w:tcBorders>
              <w:top w:val="single" w:sz="2" w:space="0" w:color="000000"/>
              <w:left w:val="single" w:sz="2" w:space="0" w:color="000000"/>
              <w:bottom w:val="single" w:sz="6" w:space="0" w:color="000000"/>
              <w:right w:val="single" w:sz="2" w:space="0" w:color="000000"/>
            </w:tcBorders>
          </w:tcPr>
          <w:p>
            <w:pPr>
              <w:pStyle w:val="Normal"/>
              <w:jc w:val="right"/>
              <w:rPr>
                <w:sz w:val="28"/>
                <w:szCs w:val="28"/>
              </w:rPr>
            </w:pPr>
            <w:r>
              <w:rPr>
                <w:sz w:val="28"/>
                <w:szCs w:val="28"/>
              </w:rPr>
            </w:r>
          </w:p>
        </w:tc>
        <w:tc>
          <w:tcPr>
            <w:tcW w:w="1831" w:type="dxa"/>
            <w:tcBorders>
              <w:top w:val="single" w:sz="2" w:space="0" w:color="000000"/>
              <w:left w:val="single" w:sz="2" w:space="0" w:color="000000"/>
              <w:bottom w:val="single" w:sz="6" w:space="0" w:color="000000"/>
              <w:right w:val="single" w:sz="2" w:space="0" w:color="000000"/>
            </w:tcBorders>
          </w:tcPr>
          <w:p>
            <w:pPr>
              <w:pStyle w:val="Normal"/>
              <w:jc w:val="right"/>
              <w:rPr>
                <w:sz w:val="28"/>
                <w:szCs w:val="28"/>
              </w:rPr>
            </w:pPr>
            <w:r>
              <w:rPr>
                <w:sz w:val="28"/>
                <w:szCs w:val="28"/>
              </w:rPr>
              <w:t>Tабела 1.</w:t>
            </w:r>
          </w:p>
        </w:tc>
      </w:tr>
      <w:tr>
        <w:trPr>
          <w:trHeight w:val="723" w:hRule="atLeast"/>
        </w:trPr>
        <w:tc>
          <w:tcPr>
            <w:tcW w:w="1097" w:type="dxa"/>
            <w:tcBorders>
              <w:top w:val="single" w:sz="6" w:space="0" w:color="000000"/>
              <w:left w:val="single" w:sz="6" w:space="0" w:color="000000"/>
              <w:right w:val="single" w:sz="6" w:space="0" w:color="000000"/>
            </w:tcBorders>
          </w:tcPr>
          <w:p>
            <w:pPr>
              <w:pStyle w:val="Normal"/>
              <w:jc w:val="center"/>
              <w:rPr>
                <w:sz w:val="28"/>
                <w:szCs w:val="28"/>
              </w:rPr>
            </w:pPr>
            <w:r>
              <w:rPr>
                <w:sz w:val="28"/>
                <w:szCs w:val="28"/>
              </w:rPr>
              <w:t>Ред.бр.</w:t>
            </w:r>
          </w:p>
        </w:tc>
        <w:tc>
          <w:tcPr>
            <w:tcW w:w="6895" w:type="dxa"/>
            <w:tcBorders>
              <w:top w:val="single" w:sz="6" w:space="0" w:color="000000"/>
              <w:left w:val="single" w:sz="6" w:space="0" w:color="000000"/>
              <w:right w:val="single" w:sz="6" w:space="0" w:color="000000"/>
            </w:tcBorders>
          </w:tcPr>
          <w:p>
            <w:pPr>
              <w:pStyle w:val="Normal"/>
              <w:jc w:val="center"/>
              <w:rPr>
                <w:sz w:val="28"/>
                <w:szCs w:val="28"/>
              </w:rPr>
            </w:pPr>
            <w:r>
              <w:rPr>
                <w:sz w:val="28"/>
                <w:szCs w:val="28"/>
              </w:rPr>
              <w:t>Директни и индиректни корисници буџетских средстава локалне власти</w:t>
            </w:r>
          </w:p>
        </w:tc>
        <w:tc>
          <w:tcPr>
            <w:tcW w:w="387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 xml:space="preserve">Маса средстава за плате </w:t>
            </w:r>
            <w:r>
              <w:rPr>
                <w:sz w:val="28"/>
                <w:szCs w:val="28"/>
                <w:lang w:val="sr-CS"/>
              </w:rPr>
              <w:t xml:space="preserve">исплаћена и </w:t>
            </w:r>
            <w:r>
              <w:rPr>
                <w:sz w:val="28"/>
                <w:szCs w:val="28"/>
              </w:rPr>
              <w:t xml:space="preserve"> планирана за 202</w:t>
            </w:r>
            <w:r>
              <w:rPr>
                <w:sz w:val="28"/>
                <w:szCs w:val="28"/>
                <w:lang w:val="sr-RS"/>
              </w:rPr>
              <w:t>5</w:t>
            </w:r>
            <w:r>
              <w:rPr>
                <w:sz w:val="28"/>
                <w:szCs w:val="28"/>
              </w:rPr>
              <w:t>. годину</w:t>
            </w:r>
          </w:p>
        </w:tc>
        <w:tc>
          <w:tcPr>
            <w:tcW w:w="4248"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Маса средстава за плате планирана</w:t>
            </w:r>
          </w:p>
          <w:p>
            <w:pPr>
              <w:pStyle w:val="Normal"/>
              <w:jc w:val="center"/>
              <w:rPr>
                <w:sz w:val="28"/>
                <w:szCs w:val="28"/>
              </w:rPr>
            </w:pPr>
            <w:r>
              <w:rPr>
                <w:sz w:val="28"/>
                <w:szCs w:val="28"/>
              </w:rPr>
              <w:t>за 202</w:t>
            </w:r>
            <w:r>
              <w:rPr>
                <w:sz w:val="28"/>
                <w:szCs w:val="28"/>
                <w:lang w:val="sr-RS"/>
              </w:rPr>
              <w:t>6</w:t>
            </w:r>
            <w:r>
              <w:rPr>
                <w:sz w:val="28"/>
                <w:szCs w:val="28"/>
              </w:rPr>
              <w:t>. годину</w:t>
            </w:r>
          </w:p>
        </w:tc>
      </w:tr>
      <w:tr>
        <w:trPr>
          <w:trHeight w:val="661" w:hRule="atLeast"/>
        </w:trPr>
        <w:tc>
          <w:tcPr>
            <w:tcW w:w="1097" w:type="dxa"/>
            <w:tcBorders>
              <w:left w:val="single" w:sz="6" w:space="0" w:color="000000"/>
              <w:bottom w:val="single" w:sz="6" w:space="0" w:color="000000"/>
              <w:right w:val="single" w:sz="6" w:space="0" w:color="000000"/>
            </w:tcBorders>
          </w:tcPr>
          <w:p>
            <w:pPr>
              <w:pStyle w:val="Normal"/>
              <w:jc w:val="center"/>
              <w:rPr>
                <w:sz w:val="28"/>
                <w:szCs w:val="28"/>
              </w:rPr>
            </w:pPr>
            <w:r>
              <w:rPr>
                <w:sz w:val="28"/>
                <w:szCs w:val="28"/>
              </w:rPr>
            </w:r>
          </w:p>
        </w:tc>
        <w:tc>
          <w:tcPr>
            <w:tcW w:w="6895" w:type="dxa"/>
            <w:tcBorders>
              <w:left w:val="single" w:sz="6" w:space="0" w:color="000000"/>
              <w:bottom w:val="single" w:sz="6" w:space="0" w:color="000000"/>
              <w:right w:val="single" w:sz="6" w:space="0" w:color="000000"/>
            </w:tcBorders>
          </w:tcPr>
          <w:p>
            <w:pPr>
              <w:pStyle w:val="Normal"/>
              <w:jc w:val="center"/>
              <w:rPr>
                <w:sz w:val="28"/>
                <w:szCs w:val="28"/>
              </w:rPr>
            </w:pPr>
            <w:r>
              <w:rPr>
                <w:sz w:val="28"/>
                <w:szCs w:val="28"/>
              </w:rPr>
            </w:r>
          </w:p>
        </w:tc>
        <w:tc>
          <w:tcPr>
            <w:tcW w:w="2044"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Буџетска средства</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lang w:val="sr-RS"/>
              </w:rPr>
            </w:pPr>
            <w:r>
              <w:rPr>
                <w:sz w:val="28"/>
                <w:szCs w:val="28"/>
              </w:rPr>
              <w:t>Остали извори</w:t>
            </w:r>
            <w:r>
              <w:rPr>
                <w:sz w:val="28"/>
                <w:szCs w:val="28"/>
                <w:lang w:val="sr-RS"/>
              </w:rPr>
              <w:t xml:space="preserve"> (07) припр.предшк. програм</w:t>
            </w:r>
          </w:p>
        </w:tc>
        <w:tc>
          <w:tcPr>
            <w:tcW w:w="241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Буџетска средства</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lang w:val="sr-RS"/>
              </w:rPr>
            </w:pPr>
            <w:r>
              <w:rPr>
                <w:sz w:val="28"/>
                <w:szCs w:val="28"/>
              </w:rPr>
              <w:t>Остали извори</w:t>
            </w:r>
            <w:r>
              <w:rPr>
                <w:sz w:val="28"/>
                <w:szCs w:val="28"/>
                <w:lang w:val="sr-RS"/>
              </w:rPr>
              <w:t xml:space="preserve"> (07) припр.предшк. програм</w:t>
            </w:r>
          </w:p>
        </w:tc>
      </w:tr>
      <w:tr>
        <w:trPr>
          <w:trHeight w:val="326"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1</w:t>
            </w:r>
          </w:p>
        </w:tc>
        <w:tc>
          <w:tcPr>
            <w:tcW w:w="6895" w:type="dxa"/>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2</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3</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4</w:t>
            </w:r>
          </w:p>
        </w:tc>
        <w:tc>
          <w:tcPr>
            <w:tcW w:w="2417" w:type="dxa"/>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5</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6</w:t>
            </w:r>
          </w:p>
        </w:tc>
      </w:tr>
      <w:tr>
        <w:trPr>
          <w:trHeight w:val="278"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1</w:t>
            </w:r>
          </w:p>
        </w:tc>
        <w:tc>
          <w:tcPr>
            <w:tcW w:w="6895" w:type="dxa"/>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Органи и организације локалне власти</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76.627.455</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sz w:val="28"/>
                <w:szCs w:val="28"/>
              </w:rPr>
              <w:t>83.543.080</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278"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2</w:t>
            </w:r>
          </w:p>
        </w:tc>
        <w:tc>
          <w:tcPr>
            <w:tcW w:w="6895" w:type="dxa"/>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Установе културе</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16.520.700</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sz w:val="28"/>
                <w:szCs w:val="28"/>
              </w:rPr>
              <w:t>17.703.610</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507"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3</w:t>
            </w:r>
          </w:p>
        </w:tc>
        <w:tc>
          <w:tcPr>
            <w:tcW w:w="6895" w:type="dxa"/>
            <w:tcBorders>
              <w:top w:val="single" w:sz="6" w:space="0" w:color="000000"/>
              <w:left w:val="single" w:sz="6" w:space="0" w:color="000000"/>
              <w:bottom w:val="single" w:sz="6" w:space="0" w:color="000000"/>
              <w:right w:val="single" w:sz="6" w:space="0" w:color="000000"/>
            </w:tcBorders>
          </w:tcPr>
          <w:p>
            <w:pPr>
              <w:pStyle w:val="Normal"/>
              <w:rPr>
                <w:sz w:val="28"/>
                <w:szCs w:val="28"/>
                <w:lang w:val="sr-CS"/>
              </w:rPr>
            </w:pPr>
            <w:r>
              <w:rPr>
                <w:sz w:val="28"/>
                <w:szCs w:val="28"/>
              </w:rPr>
              <w:t>Остале установе из области јавних служби (навести називе: на пр.: установе у области културе и сл.)</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350"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4</w:t>
            </w:r>
          </w:p>
        </w:tc>
        <w:tc>
          <w:tcPr>
            <w:tcW w:w="6895" w:type="dxa"/>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Месне заједнице</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557"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5</w:t>
            </w:r>
          </w:p>
        </w:tc>
        <w:tc>
          <w:tcPr>
            <w:tcW w:w="8939" w:type="dxa"/>
            <w:gridSpan w:val="2"/>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Дирекције основане од стране локалне власти</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lang w:val="sr-RS"/>
              </w:rPr>
            </w:pPr>
            <w:r>
              <w:rPr>
                <w:color w:val="C00000"/>
                <w:sz w:val="28"/>
                <w:szCs w:val="28"/>
                <w:lang w:val="sr-RS"/>
              </w:rPr>
            </w:r>
          </w:p>
        </w:tc>
      </w:tr>
      <w:tr>
        <w:trPr>
          <w:trHeight w:val="278"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6</w:t>
            </w:r>
          </w:p>
        </w:tc>
        <w:tc>
          <w:tcPr>
            <w:tcW w:w="6895" w:type="dxa"/>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Предшколске установе</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140.985.448</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lang w:val="sr-Latn-RS"/>
              </w:rPr>
            </w:pPr>
            <w:r>
              <w:rPr>
                <w:sz w:val="28"/>
                <w:szCs w:val="28"/>
                <w:lang w:val="sr-Latn-RS"/>
              </w:rPr>
              <w:t>6.654.165</w:t>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146.881.720</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lang w:val="sr-Latn-RS"/>
              </w:rPr>
            </w:pPr>
            <w:r>
              <w:rPr>
                <w:sz w:val="28"/>
                <w:szCs w:val="28"/>
                <w:lang w:val="sr-Latn-RS"/>
              </w:rPr>
              <w:t>6.654.165</w:t>
            </w:r>
          </w:p>
        </w:tc>
      </w:tr>
      <w:tr>
        <w:trPr>
          <w:trHeight w:val="853"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8</w:t>
            </w:r>
          </w:p>
        </w:tc>
        <w:tc>
          <w:tcPr>
            <w:tcW w:w="6895" w:type="dxa"/>
            <w:tcBorders>
              <w:top w:val="single" w:sz="6" w:space="0" w:color="000000"/>
              <w:left w:val="single" w:sz="6" w:space="0" w:color="000000"/>
              <w:bottom w:val="single" w:sz="6" w:space="0" w:color="000000"/>
              <w:right w:val="single" w:sz="6" w:space="0" w:color="000000"/>
            </w:tcBorders>
          </w:tcPr>
          <w:p>
            <w:pPr>
              <w:pStyle w:val="Normal"/>
              <w:rPr>
                <w:sz w:val="28"/>
                <w:szCs w:val="28"/>
                <w:lang w:val="sr-CS"/>
              </w:rPr>
            </w:pPr>
            <w:r>
              <w:rPr>
                <w:sz w:val="28"/>
                <w:szCs w:val="28"/>
              </w:rPr>
              <w:t>Остали индиректни корисници буџета (навести називе)                                               -  Tуристичкa организација</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7.324.480</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sz w:val="28"/>
                <w:szCs w:val="28"/>
              </w:rPr>
              <w:t>7.659.470</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557"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9</w:t>
            </w:r>
          </w:p>
        </w:tc>
        <w:tc>
          <w:tcPr>
            <w:tcW w:w="6895" w:type="dxa"/>
            <w:tcBorders>
              <w:top w:val="single" w:sz="6" w:space="0" w:color="000000"/>
              <w:left w:val="single" w:sz="6" w:space="0" w:color="000000"/>
              <w:bottom w:val="single" w:sz="6" w:space="0" w:color="000000"/>
              <w:right w:val="single" w:sz="6" w:space="0" w:color="000000"/>
            </w:tcBorders>
          </w:tcPr>
          <w:p>
            <w:pPr>
              <w:pStyle w:val="Normal"/>
              <w:rPr>
                <w:b/>
                <w:bCs/>
                <w:i/>
                <w:i/>
                <w:iCs/>
                <w:sz w:val="28"/>
                <w:szCs w:val="28"/>
              </w:rPr>
            </w:pPr>
            <w:r>
              <w:rPr>
                <w:b/>
                <w:bCs/>
                <w:i/>
                <w:iCs/>
                <w:sz w:val="28"/>
                <w:szCs w:val="28"/>
              </w:rPr>
              <w:t>Укупно за све кориснике буџетских средстава</w:t>
            </w:r>
          </w:p>
        </w:tc>
        <w:tc>
          <w:tcPr>
            <w:tcW w:w="2044" w:type="dxa"/>
            <w:tcBorders>
              <w:top w:val="single" w:sz="6" w:space="0" w:color="000000"/>
              <w:left w:val="single" w:sz="6" w:space="0" w:color="000000"/>
              <w:bottom w:val="single" w:sz="6" w:space="0" w:color="000000"/>
              <w:right w:val="single" w:sz="6" w:space="0" w:color="000000"/>
            </w:tcBorders>
          </w:tcPr>
          <w:p>
            <w:pPr>
              <w:pStyle w:val="Normal"/>
              <w:jc w:val="right"/>
              <w:rPr>
                <w:b/>
                <w:sz w:val="28"/>
                <w:szCs w:val="28"/>
              </w:rPr>
            </w:pPr>
            <w:r>
              <w:rPr>
                <w:b/>
                <w:sz w:val="28"/>
                <w:szCs w:val="28"/>
              </w:rPr>
              <w:t>241.458.083</w:t>
            </w:r>
          </w:p>
        </w:tc>
        <w:tc>
          <w:tcPr>
            <w:tcW w:w="1833" w:type="dxa"/>
            <w:tcBorders>
              <w:top w:val="single" w:sz="6" w:space="0" w:color="000000"/>
              <w:left w:val="single" w:sz="6" w:space="0" w:color="000000"/>
              <w:bottom w:val="single" w:sz="6" w:space="0" w:color="000000"/>
              <w:right w:val="single" w:sz="6" w:space="0" w:color="000000"/>
            </w:tcBorders>
          </w:tcPr>
          <w:p>
            <w:pPr>
              <w:pStyle w:val="Normal"/>
              <w:jc w:val="center"/>
              <w:rPr>
                <w:b/>
                <w:sz w:val="28"/>
                <w:szCs w:val="28"/>
                <w:lang w:val="sr-Latn-RS"/>
              </w:rPr>
            </w:pPr>
            <w:r>
              <w:rPr>
                <w:b/>
                <w:sz w:val="28"/>
                <w:szCs w:val="28"/>
                <w:lang w:val="sr-Latn-RS"/>
              </w:rPr>
              <w:t>6.654.165</w:t>
            </w:r>
          </w:p>
        </w:tc>
        <w:tc>
          <w:tcPr>
            <w:tcW w:w="2417" w:type="dxa"/>
            <w:tcBorders>
              <w:top w:val="single" w:sz="6" w:space="0" w:color="000000"/>
              <w:left w:val="single" w:sz="6" w:space="0" w:color="000000"/>
              <w:bottom w:val="single" w:sz="6" w:space="0" w:color="000000"/>
              <w:right w:val="single" w:sz="6" w:space="0" w:color="000000"/>
            </w:tcBorders>
          </w:tcPr>
          <w:p>
            <w:pPr>
              <w:pStyle w:val="Normal"/>
              <w:jc w:val="right"/>
              <w:rPr>
                <w:b/>
                <w:sz w:val="28"/>
                <w:szCs w:val="28"/>
              </w:rPr>
            </w:pPr>
            <w:r>
              <w:rPr>
                <w:b/>
                <w:sz w:val="28"/>
                <w:szCs w:val="28"/>
              </w:rPr>
              <w:t>255.787.880</w:t>
            </w:r>
          </w:p>
        </w:tc>
        <w:tc>
          <w:tcPr>
            <w:tcW w:w="1831" w:type="dxa"/>
            <w:tcBorders>
              <w:top w:val="single" w:sz="6" w:space="0" w:color="000000"/>
              <w:left w:val="single" w:sz="6" w:space="0" w:color="000000"/>
              <w:bottom w:val="single" w:sz="6" w:space="0" w:color="000000"/>
              <w:right w:val="single" w:sz="6" w:space="0" w:color="000000"/>
            </w:tcBorders>
          </w:tcPr>
          <w:p>
            <w:pPr>
              <w:pStyle w:val="Normal"/>
              <w:jc w:val="center"/>
              <w:rPr>
                <w:b/>
                <w:color w:val="C00000"/>
                <w:sz w:val="28"/>
                <w:szCs w:val="28"/>
                <w:lang w:val="sr-Latn-RS"/>
              </w:rPr>
            </w:pPr>
            <w:r>
              <w:rPr>
                <w:b/>
                <w:sz w:val="28"/>
                <w:szCs w:val="28"/>
                <w:lang w:val="sr-Latn-RS"/>
              </w:rPr>
              <w:t>6.654.165</w:t>
            </w:r>
          </w:p>
        </w:tc>
      </w:tr>
      <w:tr>
        <w:trPr>
          <w:trHeight w:val="557" w:hRule="atLeast"/>
        </w:trPr>
        <w:tc>
          <w:tcPr>
            <w:tcW w:w="1097" w:type="dxa"/>
            <w:tcBorders>
              <w:top w:val="single" w:sz="6" w:space="0" w:color="000000"/>
              <w:left w:val="single" w:sz="6" w:space="0" w:color="000000"/>
              <w:bottom w:val="single" w:sz="6" w:space="0" w:color="000000"/>
              <w:right w:val="single" w:sz="6" w:space="0" w:color="000000"/>
            </w:tcBorders>
          </w:tcPr>
          <w:p>
            <w:pPr>
              <w:pStyle w:val="Normal"/>
              <w:jc w:val="center"/>
              <w:rPr>
                <w:sz w:val="28"/>
                <w:szCs w:val="28"/>
                <w:lang w:val="sr-RS"/>
              </w:rPr>
            </w:pPr>
            <w:r>
              <w:rPr>
                <w:sz w:val="28"/>
                <w:szCs w:val="28"/>
                <w:lang w:val="sr-RS"/>
              </w:rPr>
              <w:t>10</w:t>
            </w:r>
          </w:p>
        </w:tc>
        <w:tc>
          <w:tcPr>
            <w:tcW w:w="6895" w:type="dxa"/>
            <w:tcBorders>
              <w:top w:val="single" w:sz="6" w:space="0" w:color="000000"/>
              <w:left w:val="single" w:sz="6" w:space="0" w:color="000000"/>
              <w:bottom w:val="single" w:sz="6" w:space="0" w:color="000000"/>
              <w:right w:val="single" w:sz="6" w:space="0" w:color="000000"/>
            </w:tcBorders>
          </w:tcPr>
          <w:p>
            <w:pPr>
              <w:pStyle w:val="Normal"/>
              <w:rPr>
                <w:b/>
                <w:bCs/>
                <w:i/>
                <w:i/>
                <w:iCs/>
                <w:sz w:val="28"/>
                <w:szCs w:val="28"/>
                <w:lang w:val="sr-RS"/>
              </w:rPr>
            </w:pPr>
            <w:r>
              <w:rPr>
                <w:b/>
                <w:bCs/>
                <w:i/>
                <w:iCs/>
                <w:sz w:val="28"/>
                <w:szCs w:val="28"/>
                <w:lang w:val="sr-RS"/>
              </w:rPr>
              <w:t>Укупно (буџетска средства и остали извори)</w:t>
            </w:r>
          </w:p>
        </w:tc>
        <w:tc>
          <w:tcPr>
            <w:tcW w:w="3877" w:type="dxa"/>
            <w:gridSpan w:val="2"/>
            <w:tcBorders>
              <w:top w:val="single" w:sz="6" w:space="0" w:color="000000"/>
              <w:left w:val="single" w:sz="6" w:space="0" w:color="000000"/>
              <w:bottom w:val="single" w:sz="6" w:space="0" w:color="000000"/>
              <w:right w:val="single" w:sz="6" w:space="0" w:color="000000"/>
            </w:tcBorders>
          </w:tcPr>
          <w:p>
            <w:pPr>
              <w:pStyle w:val="Normal"/>
              <w:jc w:val="center"/>
              <w:rPr>
                <w:b/>
                <w:sz w:val="28"/>
                <w:szCs w:val="28"/>
              </w:rPr>
            </w:pPr>
            <w:r>
              <w:rPr>
                <w:b/>
                <w:sz w:val="28"/>
                <w:szCs w:val="28"/>
              </w:rPr>
              <w:t>248.112.248</w:t>
            </w:r>
          </w:p>
        </w:tc>
        <w:tc>
          <w:tcPr>
            <w:tcW w:w="4248" w:type="dxa"/>
            <w:gridSpan w:val="2"/>
            <w:tcBorders>
              <w:top w:val="single" w:sz="6" w:space="0" w:color="000000"/>
              <w:left w:val="single" w:sz="6" w:space="0" w:color="000000"/>
              <w:bottom w:val="single" w:sz="6" w:space="0" w:color="000000"/>
              <w:right w:val="single" w:sz="6" w:space="0" w:color="000000"/>
            </w:tcBorders>
          </w:tcPr>
          <w:p>
            <w:pPr>
              <w:pStyle w:val="Normal"/>
              <w:jc w:val="center"/>
              <w:rPr>
                <w:b/>
                <w:sz w:val="28"/>
                <w:szCs w:val="28"/>
              </w:rPr>
            </w:pPr>
            <w:r>
              <w:rPr>
                <w:b/>
                <w:sz w:val="28"/>
                <w:szCs w:val="28"/>
              </w:rPr>
              <w:t>262.442.045</w:t>
            </w:r>
          </w:p>
        </w:tc>
      </w:tr>
    </w:tbl>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jc w:val="both"/>
        <w:rPr>
          <w:sz w:val="28"/>
          <w:szCs w:val="28"/>
          <w:lang w:val="sr-RS"/>
        </w:rPr>
      </w:pPr>
      <w:r>
        <w:rPr>
          <w:sz w:val="28"/>
          <w:szCs w:val="28"/>
        </w:rPr>
        <w:t>Табела 2.</w:t>
      </w:r>
    </w:p>
    <w:tbl>
      <w:tblPr>
        <w:tblW w:w="16177" w:type="dxa"/>
        <w:jc w:val="left"/>
        <w:tblInd w:w="0" w:type="dxa"/>
        <w:tblLayout w:type="fixed"/>
        <w:tblCellMar>
          <w:top w:w="0" w:type="dxa"/>
          <w:left w:w="30" w:type="dxa"/>
          <w:bottom w:w="0" w:type="dxa"/>
          <w:right w:w="30" w:type="dxa"/>
        </w:tblCellMar>
        <w:tblLook w:firstRow="0" w:noVBand="0" w:lastRow="0" w:firstColumn="0" w:lastColumn="0" w:noHBand="0" w:val="0000"/>
      </w:tblPr>
      <w:tblGrid>
        <w:gridCol w:w="454"/>
        <w:gridCol w:w="453"/>
        <w:gridCol w:w="4677"/>
        <w:gridCol w:w="4452"/>
        <w:gridCol w:w="1148"/>
        <w:gridCol w:w="1065"/>
        <w:gridCol w:w="710"/>
        <w:gridCol w:w="710"/>
        <w:gridCol w:w="710"/>
        <w:gridCol w:w="599"/>
        <w:gridCol w:w="600"/>
        <w:gridCol w:w="598"/>
      </w:tblGrid>
      <w:tr>
        <w:trPr>
          <w:trHeight w:val="305" w:hRule="atLeast"/>
        </w:trPr>
        <w:tc>
          <w:tcPr>
            <w:tcW w:w="907" w:type="dxa"/>
            <w:gridSpan w:val="2"/>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c>
          <w:tcPr>
            <w:tcW w:w="11342" w:type="dxa"/>
            <w:gridSpan w:val="4"/>
            <w:tcBorders>
              <w:top w:val="single" w:sz="2" w:space="0" w:color="000000"/>
              <w:left w:val="single" w:sz="2" w:space="0" w:color="000000"/>
              <w:bottom w:val="single" w:sz="2" w:space="0" w:color="000000"/>
            </w:tcBorders>
          </w:tcPr>
          <w:p>
            <w:pPr>
              <w:pStyle w:val="Normal"/>
              <w:jc w:val="center"/>
              <w:rPr>
                <w:sz w:val="28"/>
                <w:szCs w:val="28"/>
              </w:rPr>
            </w:pPr>
            <w:r>
              <w:rPr>
                <w:sz w:val="28"/>
                <w:szCs w:val="28"/>
                <w:highlight w:val="lightGray"/>
              </w:rPr>
              <w:t>БРОЈ ЗАПОСЛЕНИХ У 2026. ГОДИНИ</w:t>
            </w:r>
          </w:p>
        </w:tc>
        <w:tc>
          <w:tcPr>
            <w:tcW w:w="2130" w:type="dxa"/>
            <w:gridSpan w:val="3"/>
            <w:tcBorders>
              <w:top w:val="single" w:sz="2" w:space="0" w:color="000000"/>
              <w:bottom w:val="single" w:sz="2" w:space="0" w:color="000000"/>
              <w:right w:val="single" w:sz="2" w:space="0" w:color="000000"/>
            </w:tcBorders>
          </w:tcPr>
          <w:p>
            <w:pPr>
              <w:pStyle w:val="Normal"/>
              <w:jc w:val="center"/>
              <w:rPr>
                <w:sz w:val="28"/>
                <w:szCs w:val="28"/>
              </w:rPr>
            </w:pPr>
            <w:r>
              <w:rPr>
                <w:sz w:val="28"/>
                <w:szCs w:val="28"/>
              </w:rPr>
            </w:r>
          </w:p>
        </w:tc>
        <w:tc>
          <w:tcPr>
            <w:tcW w:w="1797" w:type="dxa"/>
            <w:gridSpan w:val="3"/>
            <w:tcBorders>
              <w:top w:val="single" w:sz="2" w:space="0" w:color="000000"/>
              <w:left w:val="single" w:sz="2" w:space="0" w:color="000000"/>
              <w:bottom w:val="single" w:sz="2" w:space="0" w:color="000000"/>
              <w:right w:val="single" w:sz="2" w:space="0" w:color="000000"/>
            </w:tcBorders>
          </w:tcPr>
          <w:p>
            <w:pPr>
              <w:pStyle w:val="Normal"/>
              <w:jc w:val="right"/>
              <w:rPr>
                <w:sz w:val="28"/>
                <w:szCs w:val="28"/>
              </w:rPr>
            </w:pPr>
            <w:r>
              <w:rPr>
                <w:sz w:val="28"/>
                <w:szCs w:val="28"/>
              </w:rPr>
            </w:r>
          </w:p>
        </w:tc>
      </w:tr>
      <w:tr>
        <w:trPr>
          <w:trHeight w:val="786"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Ред.бр.</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Директни и индиректни корисници буџетских средстава локалне власти</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Број запослених на неодређено време</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Број запослених на одређено време</w:t>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Укупан број запослених</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1</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2</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3</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4</w:t>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center"/>
              <w:rPr>
                <w:i/>
                <w:i/>
                <w:iCs/>
                <w:sz w:val="28"/>
                <w:szCs w:val="28"/>
              </w:rPr>
            </w:pPr>
            <w:r>
              <w:rPr>
                <w:i/>
                <w:iCs/>
                <w:sz w:val="28"/>
                <w:szCs w:val="28"/>
              </w:rPr>
              <w:t>5(3+4)</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b/>
                <w:sz w:val="28"/>
                <w:szCs w:val="28"/>
              </w:rPr>
            </w:pPr>
            <w:r>
              <w:rPr>
                <w:b/>
                <w:sz w:val="28"/>
                <w:szCs w:val="28"/>
              </w:rPr>
              <w:t>1</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b/>
                <w:sz w:val="28"/>
                <w:szCs w:val="28"/>
              </w:rPr>
            </w:pPr>
            <w:r>
              <w:rPr>
                <w:b/>
                <w:sz w:val="28"/>
                <w:szCs w:val="28"/>
              </w:rPr>
              <w:t>Органи и организације локалне власти</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b/>
                <w:color w:val="C00000"/>
                <w:sz w:val="28"/>
                <w:szCs w:val="28"/>
                <w:lang w:val="sr-Latn-RS"/>
              </w:rPr>
            </w:pPr>
            <w:r>
              <w:rPr>
                <w:b/>
                <w:sz w:val="28"/>
                <w:szCs w:val="28"/>
                <w:lang w:val="sr-Latn-RS"/>
              </w:rPr>
              <w:t>38</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b/>
                <w:color w:val="C00000"/>
                <w:sz w:val="28"/>
                <w:szCs w:val="28"/>
              </w:rPr>
            </w:pPr>
            <w:r>
              <w:rPr>
                <w:b/>
                <w:sz w:val="28"/>
                <w:szCs w:val="28"/>
              </w:rPr>
              <w:t>12</w:t>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RS"/>
              </w:rPr>
            </w:pPr>
            <w:r>
              <w:rPr>
                <w:b/>
                <w:sz w:val="28"/>
                <w:szCs w:val="28"/>
              </w:rPr>
              <w:t>50</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 xml:space="preserve">      </w:t>
            </w:r>
            <w:r>
              <w:rPr>
                <w:sz w:val="28"/>
                <w:szCs w:val="28"/>
              </w:rPr>
              <w:t>Изабрана лица</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sz w:val="28"/>
                <w:szCs w:val="28"/>
              </w:rPr>
              <w:t>3</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3</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 xml:space="preserve">      </w:t>
            </w:r>
            <w:r>
              <w:rPr>
                <w:sz w:val="28"/>
                <w:szCs w:val="28"/>
              </w:rPr>
              <w:t>Постављена лица</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sz w:val="28"/>
                <w:szCs w:val="28"/>
              </w:rPr>
              <w:t>4</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sz w:val="28"/>
                <w:szCs w:val="28"/>
              </w:rPr>
            </w:pPr>
            <w:r>
              <w:rPr>
                <w:sz w:val="28"/>
                <w:szCs w:val="28"/>
              </w:rPr>
              <w:t>4</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shd w:color="auto" w:fill="DDD9C3" w:val="clear"/>
          </w:tcPr>
          <w:p>
            <w:pPr>
              <w:pStyle w:val="Normal"/>
              <w:jc w:val="center"/>
              <w:rPr>
                <w:sz w:val="28"/>
                <w:szCs w:val="28"/>
              </w:rPr>
            </w:pPr>
            <w:r>
              <w:rPr>
                <w:sz w:val="28"/>
                <w:szCs w:val="28"/>
              </w:rPr>
            </w:r>
          </w:p>
        </w:tc>
        <w:tc>
          <w:tcPr>
            <w:tcW w:w="9129" w:type="dxa"/>
            <w:gridSpan w:val="2"/>
            <w:tcBorders>
              <w:top w:val="single" w:sz="6" w:space="0" w:color="000000"/>
              <w:left w:val="single" w:sz="6" w:space="0" w:color="000000"/>
              <w:bottom w:val="single" w:sz="6" w:space="0" w:color="000000"/>
              <w:right w:val="single" w:sz="6" w:space="0" w:color="000000"/>
            </w:tcBorders>
            <w:shd w:color="auto" w:fill="DDD9C3" w:val="clear"/>
          </w:tcPr>
          <w:p>
            <w:pPr>
              <w:pStyle w:val="Normal"/>
              <w:rPr>
                <w:sz w:val="28"/>
                <w:szCs w:val="28"/>
              </w:rPr>
            </w:pPr>
            <w:r>
              <w:rPr>
                <w:sz w:val="28"/>
                <w:szCs w:val="28"/>
              </w:rPr>
              <w:t xml:space="preserve">      </w:t>
            </w:r>
            <w:r>
              <w:rPr>
                <w:sz w:val="28"/>
                <w:szCs w:val="28"/>
              </w:rPr>
              <w:t>Запослени</w:t>
            </w:r>
          </w:p>
        </w:tc>
        <w:tc>
          <w:tcPr>
            <w:tcW w:w="2213" w:type="dxa"/>
            <w:gridSpan w:val="2"/>
            <w:tcBorders>
              <w:top w:val="single" w:sz="6" w:space="0" w:color="000000"/>
              <w:left w:val="single" w:sz="6" w:space="0" w:color="000000"/>
              <w:bottom w:val="single" w:sz="6" w:space="0" w:color="000000"/>
              <w:right w:val="single" w:sz="6" w:space="0" w:color="000000"/>
            </w:tcBorders>
            <w:shd w:color="auto" w:fill="DDD9C3" w:val="clear"/>
          </w:tcPr>
          <w:p>
            <w:pPr>
              <w:pStyle w:val="Normal"/>
              <w:jc w:val="right"/>
              <w:rPr>
                <w:color w:val="C00000"/>
                <w:sz w:val="28"/>
                <w:szCs w:val="28"/>
              </w:rPr>
            </w:pPr>
            <w:r>
              <w:rPr>
                <w:sz w:val="28"/>
                <w:szCs w:val="28"/>
              </w:rPr>
              <w:t>31</w:t>
            </w:r>
          </w:p>
        </w:tc>
        <w:tc>
          <w:tcPr>
            <w:tcW w:w="2130" w:type="dxa"/>
            <w:gridSpan w:val="3"/>
            <w:tcBorders>
              <w:top w:val="single" w:sz="6" w:space="0" w:color="000000"/>
              <w:left w:val="single" w:sz="6" w:space="0" w:color="000000"/>
              <w:bottom w:val="single" w:sz="6" w:space="0" w:color="000000"/>
              <w:right w:val="single" w:sz="6" w:space="0" w:color="000000"/>
            </w:tcBorders>
            <w:shd w:color="auto" w:fill="DDD9C3" w:val="clear"/>
          </w:tcPr>
          <w:p>
            <w:pPr>
              <w:pStyle w:val="Normal"/>
              <w:jc w:val="right"/>
              <w:rPr>
                <w:color w:val="C00000"/>
                <w:sz w:val="28"/>
                <w:szCs w:val="28"/>
              </w:rPr>
            </w:pPr>
            <w:r>
              <w:rPr>
                <w:sz w:val="28"/>
                <w:szCs w:val="28"/>
              </w:rPr>
              <w:t>12</w:t>
            </w:r>
          </w:p>
        </w:tc>
        <w:tc>
          <w:tcPr>
            <w:tcW w:w="1797" w:type="dxa"/>
            <w:gridSpan w:val="3"/>
            <w:tcBorders>
              <w:top w:val="single" w:sz="6" w:space="0" w:color="000000"/>
              <w:left w:val="single" w:sz="6" w:space="0" w:color="000000"/>
              <w:bottom w:val="single" w:sz="6" w:space="0" w:color="000000"/>
              <w:right w:val="single" w:sz="6" w:space="0" w:color="000000"/>
            </w:tcBorders>
            <w:shd w:color="auto" w:fill="DDD9C3" w:val="clear"/>
          </w:tcPr>
          <w:p>
            <w:pPr>
              <w:pStyle w:val="Normal"/>
              <w:jc w:val="right"/>
              <w:rPr>
                <w:sz w:val="28"/>
                <w:szCs w:val="28"/>
              </w:rPr>
            </w:pPr>
            <w:r>
              <w:rPr>
                <w:sz w:val="28"/>
                <w:szCs w:val="28"/>
              </w:rPr>
              <w:t>43</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b/>
                <w:sz w:val="28"/>
                <w:szCs w:val="28"/>
              </w:rPr>
            </w:pPr>
            <w:r>
              <w:rPr>
                <w:b/>
                <w:sz w:val="28"/>
                <w:szCs w:val="28"/>
              </w:rPr>
              <w:t>2</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b/>
                <w:sz w:val="28"/>
                <w:szCs w:val="28"/>
              </w:rPr>
            </w:pPr>
            <w:r>
              <w:rPr>
                <w:b/>
                <w:sz w:val="28"/>
                <w:szCs w:val="28"/>
              </w:rPr>
              <w:t>Установе културе</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b/>
                <w:color w:val="C00000"/>
                <w:sz w:val="28"/>
                <w:szCs w:val="28"/>
                <w:lang w:val="sr-Latn-RS"/>
              </w:rPr>
            </w:pPr>
            <w:r>
              <w:rPr>
                <w:b/>
                <w:sz w:val="28"/>
                <w:szCs w:val="28"/>
                <w:lang w:val="sr-Latn-RS"/>
              </w:rPr>
              <w:t>10</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rPr>
            </w:pPr>
            <w:r>
              <w:rPr>
                <w:b/>
                <w:sz w:val="28"/>
                <w:szCs w:val="28"/>
              </w:rPr>
              <w:t>2</w:t>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Latn-RS"/>
              </w:rPr>
            </w:pPr>
            <w:r>
              <w:rPr>
                <w:b/>
                <w:sz w:val="28"/>
                <w:szCs w:val="28"/>
                <w:lang w:val="sr-Latn-RS"/>
              </w:rPr>
              <w:t>12</w:t>
            </w:r>
          </w:p>
        </w:tc>
      </w:tr>
      <w:tr>
        <w:trPr>
          <w:trHeight w:val="1371"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b/>
                <w:sz w:val="28"/>
                <w:szCs w:val="28"/>
              </w:rPr>
            </w:pPr>
            <w:r>
              <w:rPr>
                <w:b/>
                <w:sz w:val="28"/>
                <w:szCs w:val="28"/>
              </w:rPr>
              <w:t>3</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b/>
                <w:sz w:val="28"/>
                <w:szCs w:val="28"/>
                <w:lang w:val="sr-RS"/>
              </w:rPr>
            </w:pPr>
            <w:r>
              <w:rPr>
                <w:b/>
                <w:sz w:val="28"/>
                <w:szCs w:val="28"/>
              </w:rPr>
              <w:t xml:space="preserve">Остале установе из области јавних служби  које се финансирају из буџета  (осим предшколских установа; навести назив : установа у области културе и сл.)                                                                                   -    </w:t>
            </w:r>
            <w:r>
              <w:rPr>
                <w:b/>
                <w:sz w:val="28"/>
                <w:szCs w:val="28"/>
                <w:lang w:val="sr-RS"/>
              </w:rPr>
              <w:t>Спортско -</w:t>
            </w:r>
            <w:r>
              <w:rPr>
                <w:b/>
                <w:sz w:val="28"/>
                <w:szCs w:val="28"/>
              </w:rPr>
              <w:t xml:space="preserve"> </w:t>
            </w:r>
            <w:r>
              <w:rPr>
                <w:b/>
                <w:sz w:val="28"/>
                <w:szCs w:val="28"/>
                <w:lang w:val="sr-RS"/>
              </w:rPr>
              <w:t>т</w:t>
            </w:r>
            <w:r>
              <w:rPr>
                <w:b/>
                <w:sz w:val="28"/>
                <w:szCs w:val="28"/>
              </w:rPr>
              <w:t>уристичк</w:t>
            </w:r>
            <w:r>
              <w:rPr>
                <w:b/>
                <w:sz w:val="28"/>
                <w:szCs w:val="28"/>
                <w:lang w:val="sr-CS"/>
              </w:rPr>
              <w:t xml:space="preserve">и </w:t>
            </w:r>
            <w:r>
              <w:rPr>
                <w:b/>
                <w:sz w:val="28"/>
                <w:szCs w:val="28"/>
              </w:rPr>
              <w:t xml:space="preserve"> </w:t>
            </w:r>
            <w:r>
              <w:rPr>
                <w:b/>
                <w:sz w:val="28"/>
                <w:szCs w:val="28"/>
                <w:lang w:val="sr-RS"/>
              </w:rPr>
              <w:t>центар</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Latn-RS"/>
              </w:rPr>
            </w:pPr>
            <w:r>
              <w:rPr>
                <w:b/>
                <w:sz w:val="28"/>
                <w:szCs w:val="28"/>
                <w:lang w:val="sr-Latn-RS"/>
              </w:rPr>
              <w:t>4</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tabs>
                <w:tab w:val="clear" w:pos="720"/>
                <w:tab w:val="left" w:pos="1500" w:leader="none"/>
              </w:tabs>
              <w:jc w:val="right"/>
              <w:rPr>
                <w:b/>
                <w:sz w:val="28"/>
                <w:szCs w:val="28"/>
                <w:lang w:val="sr-CS"/>
              </w:rPr>
            </w:pPr>
            <w:r>
              <w:rPr>
                <w:b/>
                <w:sz w:val="28"/>
                <w:szCs w:val="28"/>
                <w:lang w:val="sr-Latn-RS"/>
              </w:rPr>
              <w:t>1</w:t>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rPr>
            </w:pPr>
            <w:r>
              <w:rPr>
                <w:b/>
                <w:sz w:val="28"/>
                <w:szCs w:val="28"/>
              </w:rPr>
              <w:t>5</w:t>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4</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Месне заједнице</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387"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5</w:t>
            </w:r>
          </w:p>
        </w:tc>
        <w:tc>
          <w:tcPr>
            <w:tcW w:w="11342" w:type="dxa"/>
            <w:gridSpan w:val="4"/>
            <w:tcBorders>
              <w:top w:val="single" w:sz="6" w:space="0" w:color="000000"/>
              <w:left w:val="single" w:sz="6" w:space="0" w:color="000000"/>
              <w:bottom w:val="single" w:sz="6" w:space="0" w:color="000000"/>
              <w:right w:val="single" w:sz="6" w:space="0" w:color="000000"/>
            </w:tcBorders>
          </w:tcPr>
          <w:p>
            <w:pPr>
              <w:pStyle w:val="Normal"/>
              <w:rPr>
                <w:color w:val="C00000"/>
                <w:sz w:val="28"/>
                <w:szCs w:val="28"/>
              </w:rPr>
            </w:pPr>
            <w:r>
              <w:rPr>
                <w:sz w:val="28"/>
                <w:szCs w:val="28"/>
              </w:rPr>
              <w:t>Дирекције основане од стране локалне власти</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color w:val="C00000"/>
                <w:sz w:val="28"/>
                <w:szCs w:val="28"/>
              </w:rPr>
            </w:pPr>
            <w:r>
              <w:rPr>
                <w:color w:val="C00000"/>
                <w:sz w:val="28"/>
                <w:szCs w:val="28"/>
              </w:rPr>
            </w:r>
          </w:p>
        </w:tc>
      </w:tr>
      <w:tr>
        <w:trPr>
          <w:trHeight w:val="1128"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6</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b/>
                <w:bCs/>
                <w:i/>
                <w:i/>
                <w:iCs/>
                <w:sz w:val="28"/>
                <w:szCs w:val="28"/>
              </w:rPr>
            </w:pPr>
            <w:r>
              <w:rPr>
                <w:b/>
                <w:bCs/>
                <w:i/>
                <w:iCs/>
                <w:sz w:val="28"/>
                <w:szCs w:val="28"/>
              </w:rPr>
              <w:t>Укупно за све кориснике буџета на које се односи Закон о одређивању максималног броја запослених у локалној администрацији</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b/>
                <w:color w:val="C00000"/>
                <w:sz w:val="28"/>
                <w:szCs w:val="28"/>
                <w:lang w:val="sr-RS"/>
              </w:rPr>
            </w:pPr>
            <w:r>
              <w:rPr>
                <w:b/>
                <w:color w:val="C00000"/>
                <w:sz w:val="28"/>
                <w:szCs w:val="28"/>
                <w:lang w:val="sr-RS"/>
              </w:rPr>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jc w:val="right"/>
              <w:rPr>
                <w:b/>
                <w:color w:val="C00000"/>
                <w:sz w:val="28"/>
                <w:szCs w:val="28"/>
              </w:rPr>
            </w:pPr>
            <w:r>
              <w:rPr>
                <w:b/>
                <w:color w:val="C00000"/>
                <w:sz w:val="28"/>
                <w:szCs w:val="28"/>
              </w:rPr>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b/>
                <w:color w:val="C00000"/>
                <w:sz w:val="28"/>
                <w:szCs w:val="28"/>
              </w:rPr>
            </w:pPr>
            <w:r>
              <w:rPr>
                <w:b/>
                <w:color w:val="C00000"/>
                <w:sz w:val="28"/>
                <w:szCs w:val="28"/>
              </w:rPr>
            </w:r>
          </w:p>
        </w:tc>
      </w:tr>
      <w:tr>
        <w:trPr>
          <w:trHeight w:val="290"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7</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Предшколске установе</w:t>
            </w:r>
          </w:p>
        </w:tc>
        <w:tc>
          <w:tcPr>
            <w:tcW w:w="2213" w:type="dxa"/>
            <w:gridSpan w:val="2"/>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RS"/>
              </w:rPr>
            </w:pPr>
            <w:r>
              <w:rPr>
                <w:b/>
                <w:sz w:val="28"/>
                <w:szCs w:val="28"/>
                <w:lang w:val="sr-RS"/>
              </w:rPr>
              <w:t>66</w:t>
            </w:r>
          </w:p>
        </w:tc>
        <w:tc>
          <w:tcPr>
            <w:tcW w:w="2130" w:type="dxa"/>
            <w:gridSpan w:val="3"/>
            <w:tcBorders>
              <w:top w:val="single" w:sz="6" w:space="0" w:color="000000"/>
              <w:left w:val="single" w:sz="6" w:space="0" w:color="000000"/>
              <w:bottom w:val="single" w:sz="6" w:space="0" w:color="000000"/>
              <w:right w:val="single" w:sz="6" w:space="0" w:color="000000"/>
            </w:tcBorders>
          </w:tcPr>
          <w:p>
            <w:pPr>
              <w:pStyle w:val="Normal"/>
              <w:tabs>
                <w:tab w:val="clear" w:pos="720"/>
                <w:tab w:val="left" w:pos="1380" w:leader="none"/>
                <w:tab w:val="right" w:pos="1560" w:leader="none"/>
              </w:tabs>
              <w:jc w:val="right"/>
              <w:rPr>
                <w:b/>
                <w:sz w:val="28"/>
                <w:szCs w:val="28"/>
                <w:lang w:val="sr-RS"/>
              </w:rPr>
            </w:pPr>
            <w:r>
              <w:rPr>
                <w:b/>
                <w:sz w:val="28"/>
                <w:szCs w:val="28"/>
                <w:lang w:val="sr-RS"/>
              </w:rPr>
              <w:t>29</w:t>
            </w:r>
          </w:p>
        </w:tc>
        <w:tc>
          <w:tcPr>
            <w:tcW w:w="1797"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RS"/>
              </w:rPr>
            </w:pPr>
            <w:r>
              <w:rPr>
                <w:b/>
                <w:sz w:val="28"/>
                <w:szCs w:val="28"/>
                <w:lang w:val="sr-RS"/>
              </w:rPr>
              <w:t>95</w:t>
            </w:r>
          </w:p>
        </w:tc>
      </w:tr>
      <w:tr>
        <w:trPr>
          <w:trHeight w:val="642"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8</w:t>
            </w:r>
          </w:p>
        </w:tc>
        <w:tc>
          <w:tcPr>
            <w:tcW w:w="15269" w:type="dxa"/>
            <w:gridSpan w:val="10"/>
            <w:tcBorders>
              <w:top w:val="single" w:sz="6" w:space="0" w:color="000000"/>
              <w:left w:val="single" w:sz="6" w:space="0" w:color="000000"/>
              <w:bottom w:val="single" w:sz="6" w:space="0" w:color="000000"/>
              <w:right w:val="single" w:sz="6" w:space="0" w:color="000000"/>
            </w:tcBorders>
          </w:tcPr>
          <w:p>
            <w:pPr>
              <w:pStyle w:val="Normal"/>
              <w:rPr>
                <w:sz w:val="28"/>
                <w:szCs w:val="28"/>
              </w:rPr>
            </w:pPr>
            <w:r>
              <w:rPr>
                <w:sz w:val="28"/>
                <w:szCs w:val="28"/>
              </w:rPr>
              <w:t>Привредна друштва и други облици организовања чији је једини оснивач локална власт (индиректни корисници буџета-невести називе)                                                                     -</w:t>
            </w:r>
          </w:p>
        </w:tc>
      </w:tr>
      <w:tr>
        <w:trPr>
          <w:trHeight w:val="581" w:hRule="atLeast"/>
        </w:trPr>
        <w:tc>
          <w:tcPr>
            <w:tcW w:w="907" w:type="dxa"/>
            <w:gridSpan w:val="2"/>
            <w:tcBorders>
              <w:top w:val="single" w:sz="6" w:space="0" w:color="000000"/>
              <w:left w:val="single" w:sz="6" w:space="0" w:color="000000"/>
              <w:bottom w:val="single" w:sz="6" w:space="0" w:color="000000"/>
              <w:right w:val="single" w:sz="6" w:space="0" w:color="000000"/>
            </w:tcBorders>
          </w:tcPr>
          <w:p>
            <w:pPr>
              <w:pStyle w:val="Normal"/>
              <w:jc w:val="center"/>
              <w:rPr>
                <w:sz w:val="28"/>
                <w:szCs w:val="28"/>
              </w:rPr>
            </w:pPr>
            <w:r>
              <w:rPr>
                <w:sz w:val="28"/>
                <w:szCs w:val="28"/>
              </w:rPr>
              <w:t>9</w:t>
            </w:r>
          </w:p>
        </w:tc>
        <w:tc>
          <w:tcPr>
            <w:tcW w:w="9129" w:type="dxa"/>
            <w:gridSpan w:val="2"/>
            <w:tcBorders>
              <w:top w:val="single" w:sz="6" w:space="0" w:color="000000"/>
              <w:left w:val="single" w:sz="6" w:space="0" w:color="000000"/>
              <w:bottom w:val="single" w:sz="6" w:space="0" w:color="000000"/>
              <w:right w:val="single" w:sz="6" w:space="0" w:color="000000"/>
            </w:tcBorders>
          </w:tcPr>
          <w:p>
            <w:pPr>
              <w:pStyle w:val="Normal"/>
              <w:rPr>
                <w:b/>
                <w:bCs/>
                <w:i/>
                <w:i/>
                <w:iCs/>
                <w:sz w:val="28"/>
                <w:szCs w:val="28"/>
              </w:rPr>
            </w:pPr>
            <w:r>
              <w:rPr>
                <w:b/>
                <w:bCs/>
                <w:i/>
                <w:iCs/>
                <w:sz w:val="28"/>
                <w:szCs w:val="28"/>
              </w:rPr>
              <w:t>Укупно за све кориснике буџетских средстава</w:t>
            </w:r>
          </w:p>
        </w:tc>
        <w:tc>
          <w:tcPr>
            <w:tcW w:w="2923"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RS"/>
              </w:rPr>
            </w:pPr>
            <w:r>
              <w:rPr>
                <w:b/>
                <w:sz w:val="28"/>
                <w:szCs w:val="28"/>
                <w:lang w:val="sr-RS"/>
              </w:rPr>
              <w:t>118</w:t>
            </w:r>
          </w:p>
        </w:tc>
        <w:tc>
          <w:tcPr>
            <w:tcW w:w="2019" w:type="dxa"/>
            <w:gridSpan w:val="3"/>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RS"/>
              </w:rPr>
            </w:pPr>
            <w:r>
              <w:rPr>
                <w:b/>
                <w:sz w:val="28"/>
                <w:szCs w:val="28"/>
                <w:lang w:val="sr-RS"/>
              </w:rPr>
              <w:t>44</w:t>
            </w:r>
          </w:p>
        </w:tc>
        <w:tc>
          <w:tcPr>
            <w:tcW w:w="1198" w:type="dxa"/>
            <w:gridSpan w:val="2"/>
            <w:tcBorders>
              <w:top w:val="single" w:sz="6" w:space="0" w:color="000000"/>
              <w:left w:val="single" w:sz="6" w:space="0" w:color="000000"/>
              <w:bottom w:val="single" w:sz="6" w:space="0" w:color="000000"/>
              <w:right w:val="single" w:sz="6" w:space="0" w:color="000000"/>
            </w:tcBorders>
          </w:tcPr>
          <w:p>
            <w:pPr>
              <w:pStyle w:val="Normal"/>
              <w:jc w:val="right"/>
              <w:rPr>
                <w:b/>
                <w:sz w:val="28"/>
                <w:szCs w:val="28"/>
                <w:lang w:val="sr-RS"/>
              </w:rPr>
            </w:pPr>
            <w:r>
              <w:rPr>
                <w:b/>
                <w:sz w:val="28"/>
                <w:szCs w:val="28"/>
                <w:lang w:val="sr-RS"/>
              </w:rPr>
              <w:t>162</w:t>
            </w:r>
          </w:p>
        </w:tc>
      </w:tr>
      <w:tr>
        <w:trPr>
          <w:trHeight w:val="318" w:hRule="atLeast"/>
        </w:trPr>
        <w:tc>
          <w:tcPr>
            <w:tcW w:w="454" w:type="dxa"/>
            <w:tcBorders/>
          </w:tcPr>
          <w:p>
            <w:pPr>
              <w:pStyle w:val="Normal"/>
              <w:rPr>
                <w:b/>
                <w:bCs/>
                <w:i/>
                <w:i/>
                <w:iCs/>
                <w:sz w:val="28"/>
                <w:szCs w:val="28"/>
                <w:lang w:val="sr-CS"/>
              </w:rPr>
            </w:pPr>
            <w:r>
              <w:rPr>
                <w:b/>
                <w:bCs/>
                <w:i/>
                <w:iCs/>
                <w:sz w:val="28"/>
                <w:szCs w:val="28"/>
                <w:lang w:val="sr-CS"/>
              </w:rPr>
            </w:r>
          </w:p>
        </w:tc>
        <w:tc>
          <w:tcPr>
            <w:tcW w:w="5130" w:type="dxa"/>
            <w:gridSpan w:val="2"/>
            <w:tcBorders/>
            <w:vAlign w:val="bottom"/>
          </w:tcPr>
          <w:p>
            <w:pPr>
              <w:pStyle w:val="Normal"/>
              <w:rPr>
                <w:b/>
                <w:bCs/>
                <w:i/>
                <w:i/>
                <w:iCs/>
                <w:sz w:val="28"/>
                <w:szCs w:val="28"/>
                <w:lang w:val="sr-CS"/>
              </w:rPr>
            </w:pPr>
            <w:r>
              <w:rPr>
                <w:b/>
                <w:bCs/>
                <w:i/>
                <w:iCs/>
                <w:sz w:val="28"/>
                <w:szCs w:val="28"/>
                <w:lang w:val="sr-CS"/>
              </w:rPr>
            </w:r>
          </w:p>
        </w:tc>
        <w:tc>
          <w:tcPr>
            <w:tcW w:w="5600" w:type="dxa"/>
            <w:gridSpan w:val="2"/>
            <w:tcBorders/>
            <w:vAlign w:val="center"/>
          </w:tcPr>
          <w:p>
            <w:pPr>
              <w:pStyle w:val="Normal"/>
              <w:jc w:val="center"/>
              <w:rPr>
                <w:b/>
                <w:sz w:val="28"/>
                <w:szCs w:val="28"/>
                <w:lang w:val="sr-CS"/>
              </w:rPr>
            </w:pPr>
            <w:r>
              <w:rPr>
                <w:b/>
                <w:sz w:val="28"/>
                <w:szCs w:val="28"/>
                <w:lang w:val="sr-CS"/>
              </w:rPr>
            </w:r>
          </w:p>
        </w:tc>
        <w:tc>
          <w:tcPr>
            <w:tcW w:w="2485" w:type="dxa"/>
            <w:gridSpan w:val="3"/>
            <w:tcBorders/>
            <w:vAlign w:val="center"/>
          </w:tcPr>
          <w:p>
            <w:pPr>
              <w:pStyle w:val="Normal"/>
              <w:jc w:val="center"/>
              <w:rPr>
                <w:b/>
                <w:sz w:val="28"/>
                <w:szCs w:val="28"/>
                <w:lang w:val="sr-CS"/>
              </w:rPr>
            </w:pPr>
            <w:r>
              <w:rPr>
                <w:b/>
                <w:sz w:val="28"/>
                <w:szCs w:val="28"/>
                <w:lang w:val="sr-CS"/>
              </w:rPr>
            </w:r>
          </w:p>
        </w:tc>
        <w:tc>
          <w:tcPr>
            <w:tcW w:w="1909" w:type="dxa"/>
            <w:gridSpan w:val="3"/>
            <w:tcBorders/>
            <w:vAlign w:val="center"/>
          </w:tcPr>
          <w:p>
            <w:pPr>
              <w:pStyle w:val="Normal"/>
              <w:jc w:val="center"/>
              <w:rPr>
                <w:b/>
                <w:sz w:val="28"/>
                <w:szCs w:val="28"/>
                <w:lang w:val="sr-CS"/>
              </w:rPr>
            </w:pPr>
            <w:r>
              <w:rPr>
                <w:b/>
                <w:sz w:val="28"/>
                <w:szCs w:val="28"/>
                <w:lang w:val="sr-CS"/>
              </w:rPr>
            </w:r>
          </w:p>
        </w:tc>
        <w:tc>
          <w:tcPr>
            <w:tcW w:w="598" w:type="dxa"/>
            <w:tcBorders/>
          </w:tcPr>
          <w:p>
            <w:pPr>
              <w:pStyle w:val="Normal"/>
              <w:rPr/>
            </w:pPr>
            <w:r>
              <w:rPr/>
            </w:r>
          </w:p>
        </w:tc>
      </w:tr>
    </w:tbl>
    <w:p>
      <w:pPr>
        <w:pStyle w:val="Normal"/>
        <w:jc w:val="both"/>
        <w:rPr>
          <w:sz w:val="28"/>
          <w:szCs w:val="28"/>
        </w:rPr>
      </w:pPr>
      <w:r>
        <w:rPr>
          <w:sz w:val="28"/>
          <w:szCs w:val="28"/>
          <w:lang w:val="sr-RS"/>
        </w:rPr>
        <w:t>Број запослених у 202</w:t>
      </w:r>
      <w:r>
        <w:rPr>
          <w:sz w:val="28"/>
          <w:szCs w:val="28"/>
        </w:rPr>
        <w:t>6</w:t>
      </w:r>
      <w:r>
        <w:rPr>
          <w:sz w:val="28"/>
          <w:szCs w:val="28"/>
          <w:lang w:val="sr-RS"/>
        </w:rPr>
        <w:t>. години у Општинској управи Ариље, урађен је у складу са задњим достављеним Кадровским планом од стране Начелника ОУ Ариље по коме је у ОУ планирано 31 запослених на неодређено и</w:t>
      </w:r>
      <w:r>
        <w:rPr>
          <w:sz w:val="28"/>
          <w:szCs w:val="28"/>
        </w:rPr>
        <w:t xml:space="preserve"> </w:t>
      </w:r>
      <w:r>
        <w:rPr>
          <w:sz w:val="28"/>
          <w:szCs w:val="28"/>
          <w:lang w:val="sr-RS"/>
        </w:rPr>
        <w:t>12 запослених на одређено време што даје 43. Изабраних лица остаје 3 а постављених лица 4.</w:t>
      </w:r>
    </w:p>
    <w:p>
      <w:pPr>
        <w:pStyle w:val="Normal"/>
        <w:jc w:val="both"/>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jc w:val="center"/>
        <w:rPr>
          <w:b/>
          <w:sz w:val="28"/>
          <w:szCs w:val="28"/>
          <w:lang w:val="sr-RS"/>
        </w:rPr>
      </w:pPr>
      <w:r>
        <w:rPr>
          <w:b/>
          <w:sz w:val="28"/>
          <w:szCs w:val="28"/>
          <w:lang w:val="sr-RS"/>
        </w:rPr>
        <w:t>ПРИХОДИ И ПРИМАЊА БУЏЕТА 2026</w:t>
      </w:r>
    </w:p>
    <w:p>
      <w:pPr>
        <w:pStyle w:val="Normal"/>
        <w:rPr>
          <w:sz w:val="28"/>
          <w:szCs w:val="28"/>
          <w:lang w:val="sr-RS"/>
        </w:rPr>
      </w:pPr>
      <w:r>
        <w:rPr>
          <w:sz w:val="28"/>
          <w:szCs w:val="28"/>
          <w:lang w:val="sr-RS"/>
        </w:rPr>
      </w:r>
    </w:p>
    <w:p>
      <w:pPr>
        <w:pStyle w:val="Normal"/>
        <w:rPr>
          <w:sz w:val="28"/>
          <w:szCs w:val="28"/>
          <w:lang w:val="sr-RS"/>
        </w:rPr>
      </w:pPr>
      <w:r>
        <w:rPr>
          <w:sz w:val="28"/>
          <w:szCs w:val="28"/>
        </w:rPr>
        <w:t xml:space="preserve">Приликом планирања прихода </w:t>
      </w:r>
      <w:r>
        <w:rPr>
          <w:sz w:val="28"/>
          <w:szCs w:val="28"/>
          <w:lang w:val="sr-RS"/>
        </w:rPr>
        <w:t xml:space="preserve">буџета општине Ариље </w:t>
      </w:r>
      <w:r>
        <w:rPr>
          <w:sz w:val="28"/>
          <w:szCs w:val="28"/>
        </w:rPr>
        <w:t>по</w:t>
      </w:r>
      <w:r>
        <w:rPr>
          <w:sz w:val="28"/>
          <w:szCs w:val="28"/>
          <w:lang w:val="sr-RS"/>
        </w:rPr>
        <w:t>шло се</w:t>
      </w:r>
      <w:r>
        <w:rPr>
          <w:sz w:val="28"/>
          <w:szCs w:val="28"/>
        </w:rPr>
        <w:t xml:space="preserve"> од остварења прихода за три квартала у 2025. години и остварења прихода у четвртом кварталу 2024. године који је увећан за 7,5%. Тако утврђен износ увећа</w:t>
      </w:r>
      <w:r>
        <w:rPr>
          <w:sz w:val="28"/>
          <w:szCs w:val="28"/>
          <w:lang w:val="sr-RS"/>
        </w:rPr>
        <w:t>н је за 6,8</w:t>
      </w:r>
      <w:r>
        <w:rPr>
          <w:sz w:val="28"/>
          <w:szCs w:val="28"/>
        </w:rPr>
        <w:t>%</w:t>
      </w:r>
      <w:r>
        <w:rPr>
          <w:sz w:val="28"/>
          <w:szCs w:val="28"/>
          <w:lang w:val="sr-RS"/>
        </w:rPr>
        <w:t xml:space="preserve"> пројектованог </w:t>
      </w:r>
      <w:r>
        <w:rPr>
          <w:sz w:val="28"/>
          <w:szCs w:val="28"/>
        </w:rPr>
        <w:t xml:space="preserve">номиналног раста БДП у 2026. години. Приликом планирања текућих прихода узети </w:t>
      </w:r>
      <w:r>
        <w:rPr>
          <w:sz w:val="28"/>
          <w:szCs w:val="28"/>
          <w:lang w:val="sr-RS"/>
        </w:rPr>
        <w:t>с</w:t>
      </w:r>
      <w:r>
        <w:rPr>
          <w:sz w:val="28"/>
          <w:szCs w:val="28"/>
        </w:rPr>
        <w:t xml:space="preserve">у </w:t>
      </w:r>
      <w:r>
        <w:rPr>
          <w:sz w:val="28"/>
          <w:szCs w:val="28"/>
          <w:lang w:val="sr-RS"/>
        </w:rPr>
        <w:t xml:space="preserve">у </w:t>
      </w:r>
      <w:r>
        <w:rPr>
          <w:sz w:val="28"/>
          <w:szCs w:val="28"/>
        </w:rPr>
        <w:t>обзир приход</w:t>
      </w:r>
      <w:r>
        <w:rPr>
          <w:sz w:val="28"/>
          <w:szCs w:val="28"/>
          <w:lang w:val="sr-RS"/>
        </w:rPr>
        <w:t>и</w:t>
      </w:r>
      <w:r>
        <w:rPr>
          <w:sz w:val="28"/>
          <w:szCs w:val="28"/>
        </w:rPr>
        <w:t xml:space="preserve"> из свих извора финансирања, осим извора финансирања 07 - трансфери од других нивоа власти. </w:t>
      </w:r>
    </w:p>
    <w:p>
      <w:pPr>
        <w:pStyle w:val="Normal"/>
        <w:rPr>
          <w:sz w:val="28"/>
          <w:szCs w:val="28"/>
          <w:lang w:val="sr-RS"/>
        </w:rPr>
      </w:pPr>
      <w:r>
        <w:rPr>
          <w:sz w:val="28"/>
          <w:szCs w:val="28"/>
        </w:rPr>
        <w:t>Апропријације прихода и примања, расхода и издатака из изворa финансирања 07 - трансфери од других нивоа власти, 08 - добровољни трансфери од физичких и правних лица и 09 - примања од продаје нефинансијске имовине  планир</w:t>
      </w:r>
      <w:r>
        <w:rPr>
          <w:sz w:val="28"/>
          <w:szCs w:val="28"/>
          <w:lang w:val="sr-RS"/>
        </w:rPr>
        <w:t>ане су</w:t>
      </w:r>
      <w:r>
        <w:rPr>
          <w:sz w:val="28"/>
          <w:szCs w:val="28"/>
        </w:rPr>
        <w:t xml:space="preserve"> </w:t>
      </w:r>
      <w:r>
        <w:rPr>
          <w:sz w:val="28"/>
          <w:szCs w:val="28"/>
          <w:lang w:val="sr-RS"/>
        </w:rPr>
        <w:t xml:space="preserve">на основу </w:t>
      </w:r>
      <w:r>
        <w:rPr>
          <w:sz w:val="28"/>
          <w:szCs w:val="28"/>
        </w:rPr>
        <w:t>уговор</w:t>
      </w:r>
      <w:r>
        <w:rPr>
          <w:sz w:val="28"/>
          <w:szCs w:val="28"/>
          <w:lang w:val="sr-RS"/>
        </w:rPr>
        <w:t>а</w:t>
      </w:r>
      <w:r>
        <w:rPr>
          <w:sz w:val="28"/>
          <w:szCs w:val="28"/>
        </w:rPr>
        <w:t xml:space="preserve"> или друг</w:t>
      </w:r>
      <w:r>
        <w:rPr>
          <w:sz w:val="28"/>
          <w:szCs w:val="28"/>
          <w:lang w:val="sr-RS"/>
        </w:rPr>
        <w:t>ог</w:t>
      </w:r>
      <w:r>
        <w:rPr>
          <w:sz w:val="28"/>
          <w:szCs w:val="28"/>
        </w:rPr>
        <w:t xml:space="preserve"> одговарајућ</w:t>
      </w:r>
      <w:r>
        <w:rPr>
          <w:sz w:val="28"/>
          <w:szCs w:val="28"/>
          <w:lang w:val="sr-RS"/>
        </w:rPr>
        <w:t>ег</w:t>
      </w:r>
      <w:r>
        <w:rPr>
          <w:sz w:val="28"/>
          <w:szCs w:val="28"/>
        </w:rPr>
        <w:t xml:space="preserve"> акт</w:t>
      </w:r>
      <w:r>
        <w:rPr>
          <w:sz w:val="28"/>
          <w:szCs w:val="28"/>
          <w:lang w:val="sr-RS"/>
        </w:rPr>
        <w:t>а који поседује општина Ариље,</w:t>
      </w:r>
      <w:r>
        <w:rPr>
          <w:sz w:val="28"/>
          <w:szCs w:val="28"/>
        </w:rPr>
        <w:t xml:space="preserve"> из чије садржине се на несумњив начин може утврдити да ће средства по овом основу бити остварена у 2026. години.</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Приходи и примања утврђени су у износу од 901.956.733,00 динара, а по изворима финансирања у следећим износима:</w:t>
      </w:r>
    </w:p>
    <w:p>
      <w:pPr>
        <w:pStyle w:val="Normal"/>
        <w:rPr>
          <w:b/>
          <w:sz w:val="28"/>
          <w:szCs w:val="28"/>
          <w:lang w:val="sr-RS"/>
        </w:rPr>
      </w:pPr>
      <w:r>
        <w:rPr>
          <w:b/>
          <w:sz w:val="28"/>
          <w:szCs w:val="28"/>
          <w:lang w:val="sr-RS"/>
        </w:rPr>
        <w:t>- средства из буџета (извор 01) у износу од 875.756.368,00 динара;</w:t>
      </w:r>
    </w:p>
    <w:p>
      <w:pPr>
        <w:pStyle w:val="Normal"/>
        <w:rPr>
          <w:b/>
          <w:color w:val="C00000"/>
          <w:sz w:val="28"/>
          <w:szCs w:val="28"/>
          <w:lang w:val="sr-RS"/>
        </w:rPr>
      </w:pPr>
      <w:r>
        <w:rPr>
          <w:b/>
          <w:sz w:val="28"/>
          <w:szCs w:val="28"/>
          <w:lang w:val="sr-RS"/>
        </w:rPr>
        <w:t>- средства из осталих извора у износу од 26.200.365,00 динара и то:</w:t>
      </w:r>
    </w:p>
    <w:p>
      <w:pPr>
        <w:pStyle w:val="Normal"/>
        <w:rPr>
          <w:b/>
          <w:color w:val="C00000"/>
          <w:sz w:val="28"/>
          <w:szCs w:val="28"/>
          <w:lang w:val="sr-RS"/>
        </w:rPr>
      </w:pPr>
      <w:r>
        <w:rPr>
          <w:b/>
          <w:sz w:val="28"/>
          <w:szCs w:val="28"/>
          <w:lang w:val="sr-RS"/>
        </w:rPr>
        <w:t>- извор 07 - Трансфери од других нивоа власти у износу од 6.654.165,00 динара,</w:t>
      </w:r>
    </w:p>
    <w:p>
      <w:pPr>
        <w:pStyle w:val="Normal"/>
        <w:rPr>
          <w:b/>
          <w:sz w:val="28"/>
          <w:szCs w:val="28"/>
          <w:lang w:val="sr-Latn-RS"/>
        </w:rPr>
      </w:pPr>
      <w:r>
        <w:rPr>
          <w:b/>
          <w:sz w:val="28"/>
          <w:szCs w:val="28"/>
          <w:lang w:val="sr-Latn-RS"/>
        </w:rPr>
        <w:t xml:space="preserve">- </w:t>
      </w:r>
      <w:r>
        <w:rPr>
          <w:b/>
          <w:sz w:val="28"/>
          <w:szCs w:val="28"/>
          <w:lang w:val="sr-RS"/>
        </w:rPr>
        <w:t>извор 09 - Примања од продаје нефинансијске имовине у износу од 800.000,00 динара,</w:t>
      </w:r>
    </w:p>
    <w:p>
      <w:pPr>
        <w:pStyle w:val="Normal"/>
        <w:rPr>
          <w:b/>
          <w:sz w:val="28"/>
          <w:szCs w:val="28"/>
          <w:lang w:val="sr-RS"/>
        </w:rPr>
      </w:pPr>
      <w:r>
        <w:rPr>
          <w:b/>
          <w:sz w:val="28"/>
          <w:szCs w:val="28"/>
          <w:lang w:val="sr-Latn-RS"/>
        </w:rPr>
        <w:t xml:space="preserve">- </w:t>
      </w:r>
      <w:r>
        <w:rPr>
          <w:b/>
          <w:sz w:val="28"/>
          <w:szCs w:val="28"/>
          <w:lang w:val="sr-RS"/>
        </w:rPr>
        <w:t>извор 08 – Добровољни трансфери од физичких и правних лица у износу од 8.500.000,00 динара,</w:t>
      </w:r>
    </w:p>
    <w:p>
      <w:pPr>
        <w:pStyle w:val="Normal"/>
        <w:rPr>
          <w:b/>
          <w:sz w:val="28"/>
          <w:szCs w:val="28"/>
          <w:lang w:val="sr-RS"/>
        </w:rPr>
      </w:pPr>
      <w:r>
        <w:rPr>
          <w:b/>
          <w:sz w:val="28"/>
          <w:szCs w:val="28"/>
          <w:lang w:val="sr-RS"/>
        </w:rPr>
        <w:t>- извор 16 – Родитељски динар за ваннаставне активности у износу од 1.325.000,00 динара,</w:t>
      </w:r>
    </w:p>
    <w:p>
      <w:pPr>
        <w:pStyle w:val="Normal"/>
        <w:rPr>
          <w:b/>
          <w:sz w:val="28"/>
          <w:szCs w:val="28"/>
          <w:lang w:val="sr-RS"/>
        </w:rPr>
      </w:pPr>
      <w:r>
        <w:rPr>
          <w:b/>
          <w:sz w:val="28"/>
          <w:szCs w:val="28"/>
          <w:lang w:val="sr-RS"/>
        </w:rPr>
        <w:t>- извор 06 – Донације од међународних организација у износу од 7.809.200,00 динара,</w:t>
      </w:r>
    </w:p>
    <w:p>
      <w:pPr>
        <w:pStyle w:val="Normal"/>
        <w:rPr>
          <w:b/>
          <w:sz w:val="28"/>
          <w:szCs w:val="28"/>
          <w:lang w:val="sr-RS"/>
        </w:rPr>
      </w:pPr>
      <w:r>
        <w:rPr>
          <w:b/>
          <w:sz w:val="28"/>
          <w:szCs w:val="28"/>
          <w:lang w:val="sr-RS"/>
        </w:rPr>
        <w:t>- средства из сопствених извора (извор 04) у износу 1.112.000,00 динара</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Планирана пренета средства:</w:t>
      </w:r>
    </w:p>
    <w:p>
      <w:pPr>
        <w:pStyle w:val="Normal"/>
        <w:rPr>
          <w:b/>
          <w:sz w:val="28"/>
          <w:szCs w:val="28"/>
          <w:lang w:val="sr-RS"/>
        </w:rPr>
      </w:pPr>
      <w:r>
        <w:rPr>
          <w:b/>
          <w:sz w:val="28"/>
          <w:szCs w:val="28"/>
          <w:lang w:val="sr-RS"/>
        </w:rPr>
        <w:t>-извор 13 - нераспоређен вишак прихода из ранијих годину износу од 17.000.000,00 динара,</w:t>
      </w:r>
    </w:p>
    <w:p>
      <w:pPr>
        <w:pStyle w:val="Normal"/>
        <w:rPr>
          <w:b/>
          <w:sz w:val="28"/>
          <w:szCs w:val="28"/>
          <w:lang w:val="sr-RS"/>
        </w:rPr>
      </w:pPr>
      <w:r>
        <w:rPr>
          <w:b/>
          <w:sz w:val="28"/>
          <w:szCs w:val="28"/>
          <w:lang w:val="sr-RS"/>
        </w:rPr>
        <w:t>-извор 17 - неутрошена средства за посебне намене у износу од 72.250.000,00 динара</w:t>
      </w:r>
    </w:p>
    <w:p>
      <w:pPr>
        <w:pStyle w:val="Normal"/>
        <w:rPr>
          <w:b/>
          <w:color w:val="C00000"/>
          <w:sz w:val="28"/>
          <w:szCs w:val="28"/>
          <w:lang w:val="sr-RS"/>
        </w:rPr>
      </w:pPr>
      <w:r>
        <w:rPr>
          <w:b/>
          <w:color w:val="C00000"/>
          <w:sz w:val="28"/>
          <w:szCs w:val="28"/>
          <w:lang w:val="sr-RS"/>
        </w:rPr>
      </w:r>
    </w:p>
    <w:p>
      <w:pPr>
        <w:pStyle w:val="Normal"/>
        <w:rPr>
          <w:sz w:val="28"/>
          <w:szCs w:val="28"/>
          <w:lang w:val="sr-RS"/>
        </w:rPr>
      </w:pPr>
      <w:r>
        <w:rPr>
          <w:sz w:val="28"/>
          <w:szCs w:val="28"/>
          <w:lang w:val="sr-RS"/>
        </w:rPr>
        <w:t>Појединачно гледано предвиђени су следећи приходи и то:</w:t>
      </w:r>
    </w:p>
    <w:p>
      <w:pPr>
        <w:pStyle w:val="Normal"/>
        <w:rPr>
          <w:color w:val="C00000"/>
          <w:sz w:val="28"/>
          <w:szCs w:val="28"/>
          <w:lang w:val="sr-RS"/>
        </w:rPr>
      </w:pPr>
      <w:r>
        <w:rPr>
          <w:sz w:val="28"/>
          <w:szCs w:val="28"/>
          <w:lang w:val="sr-RS"/>
        </w:rPr>
        <w:t>- од укупно убраног порез на зараде 26% припада Републици а 74% општини и по том основу планирана су средства у износу од 390.865.000,00 динара;</w:t>
      </w:r>
    </w:p>
    <w:p>
      <w:pPr>
        <w:pStyle w:val="Normal"/>
        <w:rPr>
          <w:sz w:val="28"/>
          <w:szCs w:val="28"/>
          <w:lang w:val="sr-RS"/>
        </w:rPr>
      </w:pPr>
      <w:r>
        <w:rPr>
          <w:sz w:val="28"/>
          <w:szCs w:val="28"/>
          <w:lang w:val="sr-RS"/>
        </w:rPr>
        <w:t>- самосталне делатности могу своју делатност обављати преко стварно оствареног нето прихода или према паушално одређеном нето приходу и по томе плаћају порез на приход који у целини припада општини и исти је планиран у укупном износу од 103.045.000,00 динара;</w:t>
      </w:r>
    </w:p>
    <w:p>
      <w:pPr>
        <w:pStyle w:val="Normal"/>
        <w:rPr>
          <w:sz w:val="28"/>
          <w:szCs w:val="28"/>
          <w:lang w:val="sr-RS"/>
        </w:rPr>
      </w:pPr>
      <w:r>
        <w:rPr>
          <w:sz w:val="28"/>
          <w:szCs w:val="28"/>
          <w:lang w:val="sr-RS"/>
        </w:rPr>
        <w:t>- порез на приход од давања у закуп покретних ствари на основу самоопорезивања  у целини припада општини и исти је планиран у износу од 532.600,00 динара</w:t>
      </w:r>
    </w:p>
    <w:p>
      <w:pPr>
        <w:pStyle w:val="Normal"/>
        <w:rPr>
          <w:sz w:val="28"/>
          <w:szCs w:val="28"/>
          <w:lang w:val="sr-RS"/>
        </w:rPr>
      </w:pPr>
      <w:r>
        <w:rPr>
          <w:sz w:val="28"/>
          <w:szCs w:val="28"/>
          <w:lang w:val="sr-RS"/>
        </w:rPr>
        <w:t>- порез на земљиште планиран је у износу од 17.000,00 динара;</w:t>
      </w:r>
    </w:p>
    <w:p>
      <w:pPr>
        <w:pStyle w:val="Normal"/>
        <w:rPr>
          <w:sz w:val="28"/>
          <w:szCs w:val="28"/>
          <w:lang w:val="sr-RS"/>
        </w:rPr>
      </w:pPr>
      <w:r>
        <w:rPr>
          <w:sz w:val="28"/>
          <w:szCs w:val="28"/>
          <w:lang w:val="sr-RS"/>
        </w:rPr>
        <w:t>- приход од самодоприноса планиран је у износу од 1.508.000,00 динара;</w:t>
      </w:r>
    </w:p>
    <w:p>
      <w:pPr>
        <w:pStyle w:val="Normal"/>
        <w:rPr>
          <w:sz w:val="28"/>
          <w:szCs w:val="28"/>
          <w:lang w:val="sr-RS"/>
        </w:rPr>
      </w:pPr>
      <w:r>
        <w:rPr>
          <w:sz w:val="28"/>
          <w:szCs w:val="28"/>
          <w:lang w:val="sr-RS"/>
        </w:rPr>
        <w:t>- свако друго остварење прихода подпада под плаћање пореза на друге приходе, у целини припада општини и по том основу планирани су приходи у износу од 23.000.000,00 динара;</w:t>
      </w:r>
    </w:p>
    <w:p>
      <w:pPr>
        <w:pStyle w:val="Normal"/>
        <w:rPr>
          <w:sz w:val="28"/>
          <w:szCs w:val="28"/>
          <w:lang w:val="sr-RS"/>
        </w:rPr>
      </w:pPr>
      <w:r>
        <w:rPr>
          <w:sz w:val="28"/>
          <w:szCs w:val="28"/>
          <w:lang w:val="sr-RS"/>
        </w:rPr>
        <w:t>- порез на приходе спортиста и спортских стручњака планиран је у износу од 3.974.000,00 динара;</w:t>
      </w:r>
    </w:p>
    <w:p>
      <w:pPr>
        <w:pStyle w:val="Normal"/>
        <w:rPr>
          <w:sz w:val="28"/>
          <w:szCs w:val="28"/>
          <w:lang w:val="sr-RS"/>
        </w:rPr>
      </w:pPr>
      <w:r>
        <w:rPr>
          <w:sz w:val="28"/>
          <w:szCs w:val="28"/>
          <w:lang w:val="sr-RS"/>
        </w:rPr>
        <w:t>- порез на имовину обвезника који воде и који не воде пословне књиге, се плаћа по основу решења пореске администрације и по том основу планирана су средства у износу од 96.000.000,00 динара;</w:t>
      </w:r>
    </w:p>
    <w:p>
      <w:pPr>
        <w:pStyle w:val="Normal"/>
        <w:rPr>
          <w:sz w:val="28"/>
          <w:szCs w:val="28"/>
          <w:lang w:val="sr-RS"/>
        </w:rPr>
      </w:pPr>
      <w:r>
        <w:rPr>
          <w:sz w:val="28"/>
          <w:szCs w:val="28"/>
          <w:lang w:val="sr-RS"/>
        </w:rPr>
        <w:t>- порез на наслеђе и поклон плаћа се по решењима  пореске управе и по том основу планирана су средства у износу од 1.300.000,00 динара;</w:t>
      </w:r>
    </w:p>
    <w:p>
      <w:pPr>
        <w:pStyle w:val="Normal"/>
        <w:rPr>
          <w:sz w:val="28"/>
          <w:szCs w:val="28"/>
          <w:lang w:val="sr-RS"/>
        </w:rPr>
      </w:pPr>
      <w:r>
        <w:rPr>
          <w:color w:val="C00000"/>
          <w:sz w:val="28"/>
          <w:szCs w:val="28"/>
          <w:lang w:val="sr-RS"/>
        </w:rPr>
        <w:t xml:space="preserve">- </w:t>
      </w:r>
      <w:r>
        <w:rPr>
          <w:sz w:val="28"/>
          <w:szCs w:val="28"/>
          <w:lang w:val="sr-RS"/>
        </w:rPr>
        <w:t>исти је случај и са порезом на капиталне трансакције (порез на пренос апосолутних права) и порез на пренос апсолутних права на моторним возилима... као и на употребљаваним моторним возилима и по том основу планирана су средства у износу од 24.520.000,00 динара;</w:t>
      </w:r>
    </w:p>
    <w:p>
      <w:pPr>
        <w:pStyle w:val="Normal"/>
        <w:rPr>
          <w:sz w:val="28"/>
          <w:szCs w:val="28"/>
          <w:lang w:val="sr-RS"/>
        </w:rPr>
      </w:pPr>
      <w:r>
        <w:rPr>
          <w:sz w:val="28"/>
          <w:szCs w:val="28"/>
          <w:lang w:val="sr-RS"/>
        </w:rPr>
        <w:t>- комунална такса за држање друмских, моторних и прикључних возила плаћа се по Одлуци општине и по тим основама планирани су приходи у износу од 2</w:t>
      </w:r>
      <w:r>
        <w:rPr>
          <w:sz w:val="28"/>
          <w:szCs w:val="28"/>
        </w:rPr>
        <w:t>6</w:t>
      </w:r>
      <w:r>
        <w:rPr>
          <w:sz w:val="28"/>
          <w:szCs w:val="28"/>
          <w:lang w:val="sr-RS"/>
        </w:rPr>
        <w:t>.000.000,00 динара;</w:t>
      </w:r>
    </w:p>
    <w:p>
      <w:pPr>
        <w:pStyle w:val="Normal"/>
        <w:rPr>
          <w:sz w:val="28"/>
          <w:szCs w:val="28"/>
          <w:lang w:val="sr-RS"/>
        </w:rPr>
      </w:pPr>
      <w:bookmarkStart w:id="339" w:name="_Hlk214396965"/>
      <w:r>
        <w:rPr>
          <w:sz w:val="28"/>
          <w:szCs w:val="28"/>
          <w:lang w:val="sr-RS"/>
        </w:rPr>
        <w:t>- накнада за промену намене обрадивог пољопривредног земљишта планирана је у износу од 22.000,00 динара;</w:t>
      </w:r>
      <w:bookmarkEnd w:id="339"/>
    </w:p>
    <w:p>
      <w:pPr>
        <w:pStyle w:val="Normal"/>
        <w:rPr>
          <w:sz w:val="28"/>
          <w:szCs w:val="28"/>
        </w:rPr>
      </w:pPr>
      <w:r>
        <w:rPr>
          <w:sz w:val="28"/>
          <w:szCs w:val="28"/>
          <w:lang w:val="sr-RS"/>
        </w:rPr>
        <w:t>- накнада за супстанце које оштећују озонски омотач планирана је у износу од 10.000,00 динара;</w:t>
      </w:r>
    </w:p>
    <w:p>
      <w:pPr>
        <w:pStyle w:val="Normal"/>
        <w:rPr>
          <w:sz w:val="28"/>
          <w:szCs w:val="28"/>
          <w:lang w:val="sr-RS"/>
        </w:rPr>
      </w:pPr>
      <w:r>
        <w:rPr>
          <w:sz w:val="28"/>
          <w:szCs w:val="28"/>
          <w:lang w:val="sr-RS"/>
        </w:rPr>
        <w:t>- боравишна такса и боравишна такса по решењу надлежног органа ЈЛС у целини припада општини и по том основу планирана су средства у износу од 503.000,00 динара;</w:t>
      </w:r>
    </w:p>
    <w:p>
      <w:pPr>
        <w:pStyle w:val="Normal"/>
        <w:rPr>
          <w:sz w:val="28"/>
          <w:szCs w:val="28"/>
          <w:lang w:val="sr-RS"/>
        </w:rPr>
      </w:pPr>
      <w:r>
        <w:rPr>
          <w:sz w:val="28"/>
          <w:szCs w:val="28"/>
          <w:lang w:val="sr-RS"/>
        </w:rPr>
        <w:t>- накнада за заштиту и унапређење животне средине која је усвојена на Влади Србије у оквиру Уредбе о критеријумима за одређивање активности који негативно утичу на животну средину према количини загађења, односно степену негативног утицаја на животну средину који настаје обављањем активности, износима накнада, условима за ослобађање од плаћања накнаде или њено умањење, као и критеријумима који су од значаја за утицај физичких лица на животну средину („Службени гласник РС“, број 29/19), којом је дефинисана еко такса за правна и физичка лица од 1.200,00 динара до 2 милиона динара и по том основу су планирани приходи у износу од 13.500.000,00 динара;</w:t>
      </w:r>
    </w:p>
    <w:p>
      <w:pPr>
        <w:pStyle w:val="Normal"/>
        <w:rPr>
          <w:sz w:val="28"/>
          <w:szCs w:val="28"/>
          <w:lang w:val="sr-RS"/>
        </w:rPr>
      </w:pPr>
      <w:r>
        <w:rPr>
          <w:sz w:val="28"/>
          <w:szCs w:val="28"/>
          <w:lang w:val="sr-RS"/>
        </w:rPr>
        <w:t>- 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 планирана је у износу од 3.500.000,00 динара;</w:t>
      </w:r>
    </w:p>
    <w:p>
      <w:pPr>
        <w:pStyle w:val="Normal"/>
        <w:rPr>
          <w:sz w:val="28"/>
          <w:szCs w:val="28"/>
          <w:lang w:val="sr-RS"/>
        </w:rPr>
      </w:pPr>
      <w:r>
        <w:rPr>
          <w:sz w:val="28"/>
          <w:szCs w:val="28"/>
          <w:lang w:val="sr-RS"/>
        </w:rPr>
        <w:t>- комунална такса на фирму се плаћа на основу Одлуке Скупштине општине и по том основу су планирани приходи у износу од 43.500.000,00 динара;</w:t>
      </w:r>
    </w:p>
    <w:p>
      <w:pPr>
        <w:pStyle w:val="Normal"/>
        <w:rPr>
          <w:sz w:val="28"/>
          <w:szCs w:val="28"/>
          <w:lang w:val="sr-RS"/>
        </w:rPr>
      </w:pPr>
      <w:r>
        <w:rPr>
          <w:sz w:val="28"/>
          <w:szCs w:val="28"/>
          <w:lang w:val="sr-RS"/>
        </w:rPr>
        <w:t>-текуће донације од међународних организација планиран је износ од 7.809.200,00 динара;</w:t>
      </w:r>
    </w:p>
    <w:p>
      <w:pPr>
        <w:pStyle w:val="Normal"/>
        <w:rPr>
          <w:sz w:val="28"/>
          <w:szCs w:val="28"/>
          <w:lang w:val="sr-RS"/>
        </w:rPr>
      </w:pPr>
      <w:r>
        <w:rPr>
          <w:sz w:val="28"/>
          <w:szCs w:val="28"/>
          <w:lang w:val="sr-RS"/>
        </w:rPr>
        <w:t>-трансферна средства из буџета Републике планирана су  у износу од 91.032.672,00 динара (ненаменски трансфер) и 6.654.165,00 динара, средстава из буџета Републике намењена Предшколској установи за припремни предшколски програм;</w:t>
      </w:r>
    </w:p>
    <w:p>
      <w:pPr>
        <w:pStyle w:val="Normal"/>
        <w:rPr>
          <w:sz w:val="28"/>
          <w:szCs w:val="28"/>
          <w:lang w:val="sr-RS"/>
        </w:rPr>
      </w:pPr>
      <w:r>
        <w:rPr>
          <w:sz w:val="28"/>
          <w:szCs w:val="28"/>
          <w:lang w:val="sr-RS"/>
        </w:rPr>
        <w:t>- приходи по основу камата на средства консолидованог рачуна трезора општине Ариље планирана су у износу од 14.954.296,00 динара;</w:t>
      </w:r>
    </w:p>
    <w:p>
      <w:pPr>
        <w:pStyle w:val="Normal"/>
        <w:rPr>
          <w:sz w:val="28"/>
          <w:szCs w:val="28"/>
          <w:lang w:val="sr-RS"/>
        </w:rPr>
      </w:pPr>
      <w:r>
        <w:rPr>
          <w:sz w:val="28"/>
          <w:szCs w:val="28"/>
          <w:lang w:val="sr-RS"/>
        </w:rPr>
        <w:t>-приход од имовине који припада имоцима полисе осигурања општина, планирана су износу од 500.000,00 динара;</w:t>
      </w:r>
    </w:p>
    <w:p>
      <w:pPr>
        <w:pStyle w:val="Normal"/>
        <w:rPr>
          <w:sz w:val="28"/>
          <w:szCs w:val="28"/>
          <w:lang w:val="sr-RS"/>
        </w:rPr>
      </w:pPr>
      <w:r>
        <w:rPr>
          <w:sz w:val="28"/>
          <w:szCs w:val="28"/>
          <w:lang w:val="sr-RS"/>
        </w:rPr>
        <w:t>- средства остварена од давања у закуп пољопривредног земљишта планирана су у износу од 300.000,00 динара;</w:t>
      </w:r>
    </w:p>
    <w:p>
      <w:pPr>
        <w:pStyle w:val="Normal"/>
        <w:rPr>
          <w:sz w:val="28"/>
          <w:szCs w:val="28"/>
          <w:lang w:val="sr-RS"/>
        </w:rPr>
      </w:pPr>
      <w:r>
        <w:rPr>
          <w:sz w:val="28"/>
          <w:szCs w:val="28"/>
          <w:lang w:val="sr-RS"/>
        </w:rPr>
        <w:t>-комунална такса за коришћење простора на јавним површинама или испред пословног простора у пословне сврхе планирају се у износу од 20.600,00 динара;</w:t>
      </w:r>
    </w:p>
    <w:p>
      <w:pPr>
        <w:pStyle w:val="Normal"/>
        <w:rPr>
          <w:sz w:val="28"/>
          <w:szCs w:val="28"/>
          <w:lang w:val="sr-RS"/>
        </w:rPr>
      </w:pPr>
      <w:r>
        <w:rPr>
          <w:sz w:val="28"/>
          <w:szCs w:val="28"/>
          <w:lang w:val="sr-RS"/>
        </w:rPr>
        <w:t>-накнада за коришћење грађевинског земљишта, планирана је  у износу од 360.000,00 динара;</w:t>
      </w:r>
    </w:p>
    <w:p>
      <w:pPr>
        <w:pStyle w:val="Normal"/>
        <w:rPr>
          <w:sz w:val="28"/>
          <w:szCs w:val="28"/>
          <w:lang w:val="sr-RS"/>
        </w:rPr>
      </w:pPr>
      <w:r>
        <w:rPr>
          <w:sz w:val="28"/>
          <w:szCs w:val="28"/>
          <w:lang w:val="sr-RS"/>
        </w:rPr>
        <w:t>-допринос за уређивање грађевинског земљишта, планиран је у износу од 1.600.000,00 динара;</w:t>
      </w:r>
    </w:p>
    <w:p>
      <w:pPr>
        <w:pStyle w:val="Normal"/>
        <w:rPr>
          <w:sz w:val="28"/>
          <w:szCs w:val="28"/>
          <w:lang w:val="sr-RS"/>
        </w:rPr>
      </w:pPr>
      <w:r>
        <w:rPr>
          <w:sz w:val="28"/>
          <w:szCs w:val="28"/>
          <w:lang w:val="sr-RS"/>
        </w:rPr>
        <w:t>-накнада за коришћење дрвета, планирана је у износу од 340.000,00 динара;</w:t>
      </w:r>
    </w:p>
    <w:p>
      <w:pPr>
        <w:pStyle w:val="Normal"/>
        <w:rPr>
          <w:sz w:val="28"/>
          <w:szCs w:val="28"/>
          <w:lang w:val="sr-RS"/>
        </w:rPr>
      </w:pPr>
      <w:r>
        <w:rPr>
          <w:sz w:val="28"/>
          <w:szCs w:val="28"/>
          <w:lang w:val="sr-RS"/>
        </w:rPr>
        <w:t>- приходи од давања у закуп односно на коришћење непокретности у државној и општинској својини планирани су у износу од 3.700.000,00 динара;</w:t>
      </w:r>
    </w:p>
    <w:p>
      <w:pPr>
        <w:pStyle w:val="Normal"/>
        <w:rPr>
          <w:sz w:val="28"/>
          <w:szCs w:val="28"/>
          <w:lang w:val="sr-RS"/>
        </w:rPr>
      </w:pPr>
      <w:r>
        <w:rPr>
          <w:sz w:val="28"/>
          <w:szCs w:val="28"/>
          <w:lang w:val="sr-RS"/>
        </w:rPr>
        <w:t>-приходи од закупнине за грађевинско земљиште у корист нивоа оппштина, планиран је у износу од 711.000,00 динара;</w:t>
      </w:r>
    </w:p>
    <w:p>
      <w:pPr>
        <w:pStyle w:val="Normal"/>
        <w:rPr>
          <w:sz w:val="28"/>
          <w:szCs w:val="28"/>
          <w:lang w:val="sr-RS"/>
        </w:rPr>
      </w:pPr>
      <w:r>
        <w:rPr>
          <w:sz w:val="28"/>
          <w:szCs w:val="28"/>
          <w:lang w:val="sr-RS"/>
        </w:rPr>
        <w:t>- приходи остварени по основу пружања услуга боравка деце у предшколским установама у корист нивоа општине у износу од 23.000.000,00 динара;</w:t>
      </w:r>
    </w:p>
    <w:p>
      <w:pPr>
        <w:pStyle w:val="Normal"/>
        <w:rPr>
          <w:sz w:val="28"/>
          <w:szCs w:val="28"/>
          <w:lang w:val="sr-RS"/>
        </w:rPr>
      </w:pPr>
      <w:r>
        <w:rPr>
          <w:sz w:val="28"/>
          <w:szCs w:val="28"/>
          <w:lang w:val="sr-RS"/>
        </w:rPr>
        <w:t>- општинске административне таксе планиране су у износу 1.060.000,00 динара;</w:t>
      </w:r>
    </w:p>
    <w:p>
      <w:pPr>
        <w:pStyle w:val="Normal"/>
        <w:rPr>
          <w:sz w:val="28"/>
          <w:szCs w:val="28"/>
          <w:lang w:val="sr-RS"/>
        </w:rPr>
      </w:pPr>
      <w:r>
        <w:rPr>
          <w:sz w:val="28"/>
          <w:szCs w:val="28"/>
          <w:lang w:val="sr-RS"/>
        </w:rPr>
        <w:t>- такса за озакоњење објеката у корист нивоа општина у износу од 1.900.000,00 динара;</w:t>
      </w:r>
    </w:p>
    <w:p>
      <w:pPr>
        <w:pStyle w:val="Normal"/>
        <w:rPr>
          <w:sz w:val="28"/>
          <w:szCs w:val="28"/>
          <w:lang w:val="sr-RS"/>
        </w:rPr>
      </w:pPr>
      <w:r>
        <w:rPr>
          <w:sz w:val="28"/>
          <w:szCs w:val="28"/>
          <w:lang w:val="sr-RS"/>
        </w:rPr>
        <w:t>- приходи које својом делатношћу остваре установе културе планирају се у износу од 512.000,00 динара се односе на приходе Народне бибилиотеке „Добрило Ненадић“ на извору 04;</w:t>
      </w:r>
    </w:p>
    <w:p>
      <w:pPr>
        <w:pStyle w:val="Normal"/>
        <w:rPr>
          <w:sz w:val="28"/>
          <w:szCs w:val="28"/>
          <w:lang w:val="sr-RS"/>
        </w:rPr>
      </w:pPr>
      <w:r>
        <w:rPr>
          <w:sz w:val="28"/>
          <w:szCs w:val="28"/>
          <w:lang w:val="sr-RS"/>
        </w:rPr>
        <w:t>- приходи које остварују индиректни корисници буџетских средстава на нивоу општине, планирани су износу од 1.925.000,00 динара и односе се на приходе од родитељског динара за ваннаставне активности, Предшколска установа „Ариље“, износ од 1.325.000,00 динара и сопствени приходи Спортско – туристичког центра „Ариље“, планиран је износ од 600.000,00 динара;</w:t>
      </w:r>
    </w:p>
    <w:p>
      <w:pPr>
        <w:pStyle w:val="Normal"/>
        <w:rPr>
          <w:sz w:val="28"/>
          <w:szCs w:val="28"/>
          <w:lang w:val="sr-RS"/>
        </w:rPr>
      </w:pPr>
      <w:r>
        <w:rPr>
          <w:sz w:val="28"/>
          <w:szCs w:val="28"/>
          <w:lang w:val="sr-RS"/>
        </w:rPr>
        <w:t>-добровољни трансфери од физичких и правних лица планирани су у износу 11.900.000,00 динара;</w:t>
      </w:r>
    </w:p>
    <w:p>
      <w:pPr>
        <w:pStyle w:val="Normal"/>
        <w:rPr>
          <w:sz w:val="28"/>
          <w:szCs w:val="28"/>
          <w:lang w:val="sr-RS"/>
        </w:rPr>
      </w:pPr>
      <w:r>
        <w:rPr>
          <w:sz w:val="28"/>
          <w:szCs w:val="28"/>
          <w:lang w:val="sr-RS"/>
        </w:rPr>
        <w:t xml:space="preserve">-примања  од продаје станова планирана су у износу од 200.000,00 динара а на основу закључених Уговора о купопродаји станова потписаних са физичким лицима; </w:t>
      </w:r>
    </w:p>
    <w:p>
      <w:pPr>
        <w:pStyle w:val="Normal"/>
        <w:rPr>
          <w:sz w:val="28"/>
          <w:szCs w:val="28"/>
          <w:lang w:val="sr-RS"/>
        </w:rPr>
      </w:pPr>
      <w:r>
        <w:rPr>
          <w:sz w:val="28"/>
          <w:szCs w:val="28"/>
          <w:lang w:val="sr-RS"/>
        </w:rPr>
        <w:t>- примања од продаје земљишта, планиара су у износу од 600.000,00 динара;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jc w:val="center"/>
        <w:rPr>
          <w:b/>
          <w:sz w:val="28"/>
          <w:szCs w:val="28"/>
          <w:lang w:val="sr-RS"/>
        </w:rPr>
      </w:pPr>
      <w:r>
        <w:rPr>
          <w:b/>
          <w:sz w:val="28"/>
          <w:szCs w:val="28"/>
          <w:lang w:val="sr-RS"/>
        </w:rPr>
        <w:t xml:space="preserve">РАСХОДИ И ИЗДАЦИ </w:t>
      </w:r>
    </w:p>
    <w:p>
      <w:pPr>
        <w:pStyle w:val="Normal"/>
        <w:rPr>
          <w:sz w:val="28"/>
          <w:szCs w:val="28"/>
          <w:lang w:val="sr-RS"/>
        </w:rPr>
      </w:pPr>
      <w:r>
        <w:rPr>
          <w:sz w:val="28"/>
          <w:szCs w:val="28"/>
          <w:lang w:val="sr-RS"/>
        </w:rPr>
      </w:r>
    </w:p>
    <w:p>
      <w:pPr>
        <w:pStyle w:val="Normal"/>
        <w:jc w:val="both"/>
        <w:rPr>
          <w:sz w:val="28"/>
          <w:szCs w:val="28"/>
          <w:lang w:val="sr-RS"/>
        </w:rPr>
      </w:pPr>
      <w:r>
        <w:rPr>
          <w:sz w:val="28"/>
          <w:szCs w:val="28"/>
          <w:lang w:val="sr-RS"/>
        </w:rPr>
        <w:t xml:space="preserve">Расходи буџета у износу </w:t>
      </w:r>
      <w:r>
        <w:rPr>
          <w:b/>
          <w:sz w:val="28"/>
          <w:szCs w:val="28"/>
          <w:lang w:val="sr-RS"/>
        </w:rPr>
        <w:t xml:space="preserve">991.206.733,00 </w:t>
      </w:r>
      <w:r>
        <w:rPr>
          <w:sz w:val="28"/>
          <w:szCs w:val="28"/>
          <w:lang w:val="sr-RS"/>
        </w:rPr>
        <w:t xml:space="preserve">динара распоређени су на поједине кориснике у оквиру 148. позиција које дефинишу висину издатака за поједине кориснике и планирани  су  на бази предвиђеног извршења истих у 2025. години. Маса зарада на свим разделима тј. код директних и индиректних корисника буџета, планирана је у складу са Ревидираним упутством Министарства финансија за припрему одлуке о буџету локалне власти за 2026. годину са пројекцијом за 2027. и 2028. годину од </w:t>
      </w:r>
      <w:r>
        <w:rPr>
          <w:sz w:val="28"/>
          <w:szCs w:val="28"/>
        </w:rPr>
        <w:t xml:space="preserve"> 04</w:t>
      </w:r>
      <w:r>
        <w:rPr>
          <w:sz w:val="28"/>
          <w:szCs w:val="28"/>
          <w:lang w:val="sr-RS"/>
        </w:rPr>
        <w:t>. новембра 2025.године.  Укупна маса за плате = маса средстава исплаћена за септембар 2025. године + маса средстава исплаћена за септембар 2025. године * прописани % увећања плата * 11 месеци</w:t>
      </w:r>
    </w:p>
    <w:p>
      <w:pPr>
        <w:pStyle w:val="Normal"/>
        <w:jc w:val="both"/>
        <w:rPr>
          <w:sz w:val="28"/>
          <w:szCs w:val="28"/>
          <w:lang w:val="sr-RS"/>
        </w:rPr>
      </w:pPr>
      <w:r>
        <w:rPr>
          <w:sz w:val="28"/>
          <w:szCs w:val="28"/>
          <w:lang w:val="sr-RS"/>
        </w:rPr>
        <w:t>Проценат увећања плата за 2026. годину износи 5,1% за запослене код свих буџетских корисника.</w:t>
      </w:r>
    </w:p>
    <w:p>
      <w:pPr>
        <w:pStyle w:val="Normal"/>
        <w:jc w:val="both"/>
        <w:rPr>
          <w:sz w:val="28"/>
          <w:szCs w:val="28"/>
        </w:rPr>
      </w:pPr>
      <w:r>
        <w:rPr>
          <w:sz w:val="28"/>
          <w:szCs w:val="28"/>
        </w:rPr>
      </w:r>
    </w:p>
    <w:p>
      <w:pPr>
        <w:pStyle w:val="Normal"/>
        <w:jc w:val="both"/>
        <w:rPr>
          <w:sz w:val="28"/>
          <w:szCs w:val="28"/>
          <w:lang w:val="sr-RS"/>
        </w:rPr>
      </w:pPr>
      <w:r>
        <w:rPr>
          <w:sz w:val="28"/>
          <w:szCs w:val="28"/>
          <w:lang w:val="sr-RS"/>
        </w:rPr>
      </w:r>
    </w:p>
    <w:p>
      <w:pPr>
        <w:pStyle w:val="Normal"/>
        <w:rPr>
          <w:b/>
          <w:sz w:val="28"/>
          <w:szCs w:val="28"/>
          <w:lang w:val="sr-RS"/>
        </w:rPr>
      </w:pPr>
      <w:r>
        <w:rPr>
          <w:b/>
          <w:sz w:val="28"/>
          <w:szCs w:val="28"/>
          <w:lang w:val="sr-RS"/>
        </w:rPr>
        <w:t xml:space="preserve">РАЗДЕО 1 СКУПШТИНА ОПШТИНЕ </w:t>
      </w:r>
    </w:p>
    <w:p>
      <w:pPr>
        <w:pStyle w:val="Normal"/>
        <w:rPr>
          <w:b/>
          <w:sz w:val="28"/>
          <w:szCs w:val="28"/>
          <w:lang w:val="sr-RS"/>
        </w:rPr>
      </w:pPr>
      <w:r>
        <w:rPr>
          <w:b/>
          <w:sz w:val="28"/>
          <w:szCs w:val="28"/>
          <w:lang w:val="sr-RS"/>
        </w:rPr>
        <w:t>2101 ПОЛИТИЧКИ СИСТЕМ ЛОКАЛНЕ САМОУПРАВЕ</w:t>
      </w:r>
    </w:p>
    <w:p>
      <w:pPr>
        <w:pStyle w:val="Normal"/>
        <w:rPr>
          <w:sz w:val="28"/>
          <w:szCs w:val="28"/>
          <w:lang w:val="sr-RS"/>
        </w:rPr>
      </w:pPr>
      <w:r>
        <w:rPr>
          <w:sz w:val="28"/>
          <w:szCs w:val="28"/>
          <w:lang w:val="sr-RS"/>
        </w:rPr>
        <w:t xml:space="preserve">• </w:t>
      </w:r>
      <w:r>
        <w:rPr>
          <w:sz w:val="28"/>
          <w:szCs w:val="28"/>
          <w:u w:val="single"/>
          <w:lang w:val="sr-RS"/>
        </w:rPr>
        <w:t>Функција 110- Извршни и законодавни органи, финансијски, фискални и спољни послови</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 xml:space="preserve">Раздео обухвата позиције буџета од 1-9 и укупно износи </w:t>
      </w:r>
      <w:r>
        <w:rPr>
          <w:b/>
          <w:sz w:val="28"/>
          <w:szCs w:val="28"/>
          <w:lang w:val="sr-RS"/>
        </w:rPr>
        <w:t>14.289.360,00</w:t>
      </w:r>
      <w:r>
        <w:rPr>
          <w:sz w:val="28"/>
          <w:szCs w:val="28"/>
          <w:lang w:val="sr-RS"/>
        </w:rPr>
        <w:t xml:space="preserve"> динара. .</w:t>
      </w:r>
    </w:p>
    <w:p>
      <w:pPr>
        <w:pStyle w:val="Normal"/>
        <w:rPr>
          <w:b/>
          <w:sz w:val="28"/>
          <w:szCs w:val="28"/>
          <w:lang w:val="sr-Latn-RS"/>
        </w:rPr>
      </w:pPr>
      <w:r>
        <w:rPr>
          <w:b/>
          <w:sz w:val="28"/>
          <w:szCs w:val="28"/>
          <w:lang w:val="sr-Latn-RS"/>
        </w:rPr>
      </w:r>
    </w:p>
    <w:p>
      <w:pPr>
        <w:pStyle w:val="Normal"/>
        <w:rPr>
          <w:b/>
          <w:sz w:val="28"/>
          <w:szCs w:val="28"/>
          <w:lang w:val="sr-RS"/>
        </w:rPr>
      </w:pPr>
      <w:r>
        <w:rPr>
          <w:b/>
          <w:sz w:val="28"/>
          <w:szCs w:val="28"/>
          <w:lang w:val="sr-RS"/>
        </w:rPr>
        <w:t>Програмска активност 2101-0001 Функционисање Скупштине:</w:t>
      </w:r>
    </w:p>
    <w:p>
      <w:pPr>
        <w:pStyle w:val="Normal"/>
        <w:jc w:val="both"/>
        <w:rPr>
          <w:sz w:val="28"/>
          <w:szCs w:val="28"/>
          <w:lang w:val="sr-RS"/>
        </w:rPr>
      </w:pPr>
      <w:r>
        <w:rPr>
          <w:sz w:val="28"/>
          <w:szCs w:val="28"/>
          <w:lang w:val="sr-RS"/>
        </w:rPr>
        <w:t xml:space="preserve">Ова програмска актинвост у износу од 14.289.360,00 динара односи се на зараде Председника Скупштине и Секретара Скупштине општине, као и на материјалне трошкове Скупштине и то: конто 414 намењен је за социјална давања запосленима по Колективном уговору за запослене, конто 415 намењен је за трошкове превоза на посао и са посла, конто 421- стални трошкови (трошкови мобилног телефона), конто 423 услуге по уговору у износу од 8.460.000,00 динара предвиђен је за накнаде члановима општинских комисија, радних тела и накнаде за рад одборника,услуге информисања и репрезентације, конто 426 износ од 100.000,00 динара, конто 481 дотације политичким странкама у износу од 768.430,00 динара намењен је за финансирање редовног рада политичких странака у складу са Законом. </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 xml:space="preserve">РАЗДЕО 2 ПРЕДСЕДНИК ОПШТИНЕ </w:t>
      </w:r>
    </w:p>
    <w:p>
      <w:pPr>
        <w:pStyle w:val="Normal"/>
        <w:rPr>
          <w:b/>
          <w:sz w:val="28"/>
          <w:szCs w:val="28"/>
          <w:lang w:val="sr-RS"/>
        </w:rPr>
      </w:pPr>
      <w:r>
        <w:rPr>
          <w:b/>
          <w:sz w:val="28"/>
          <w:szCs w:val="28"/>
          <w:lang w:val="sr-RS"/>
        </w:rPr>
        <w:t>2101 ПОЛИТИЧКИ СИСТЕМ ЛОКАЛНЕ САМОУПРАВЕ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w:t>
      </w:r>
      <w:r>
        <w:rPr>
          <w:sz w:val="28"/>
          <w:szCs w:val="28"/>
          <w:lang w:val="sr-RS"/>
        </w:rPr>
        <w:tab/>
      </w:r>
      <w:r>
        <w:rPr>
          <w:sz w:val="28"/>
          <w:szCs w:val="28"/>
          <w:u w:val="single"/>
          <w:lang w:val="sr-RS"/>
        </w:rPr>
        <w:t>Функција 111- Извршни и законодавни органи</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2101-0002 Функционисање извршних органа:</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 xml:space="preserve">Обухвата позиције од 10-17. Овај раздео у укупном износу од </w:t>
      </w:r>
      <w:r>
        <w:rPr>
          <w:b/>
          <w:sz w:val="28"/>
          <w:szCs w:val="28"/>
          <w:lang w:val="sr-RS"/>
        </w:rPr>
        <w:t>8.187.050,00</w:t>
      </w:r>
      <w:r>
        <w:rPr>
          <w:sz w:val="28"/>
          <w:szCs w:val="28"/>
          <w:lang w:val="sr-RS"/>
        </w:rPr>
        <w:t xml:space="preserve"> динара предвиђен је за зараде Председника општине, његовог заменика, као и њихове материјалне трошкове и то:  конто 414 у износу 100.000,00 динара намењен је за социјална давања по Колективном уговору за запослене, конто 415 у износу 150.000,00 динара намењен је за трошкове превоза на посао и са посла, конто 422 трошкови путовања у износу 120.000,00 динара намењен  је за трошкове дневница на службеном путу у земљи и иностранству, конто 423 у износу 930.000,00 динара односи се на репрезентацију (ресторанске услуге и поклони) и  конто 426 у износу 50.000,00 динара односи се на набавку цвећа. </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 xml:space="preserve">РАЗДЕО 3 ОПШТИНСКО ВЕЋЕ </w:t>
      </w:r>
    </w:p>
    <w:p>
      <w:pPr>
        <w:pStyle w:val="Normal"/>
        <w:rPr>
          <w:b/>
          <w:sz w:val="28"/>
          <w:szCs w:val="28"/>
          <w:lang w:val="sr-RS"/>
        </w:rPr>
      </w:pPr>
      <w:r>
        <w:rPr>
          <w:b/>
          <w:sz w:val="28"/>
          <w:szCs w:val="28"/>
          <w:lang w:val="sr-RS"/>
        </w:rPr>
        <w:t>2101 ПОЛИТИЧКИ СИСТЕМ ЛОКАЛНЕ САМОУПРАВЕ</w:t>
      </w:r>
    </w:p>
    <w:p>
      <w:pPr>
        <w:pStyle w:val="Normal"/>
        <w:rPr>
          <w:sz w:val="28"/>
          <w:szCs w:val="28"/>
          <w:lang w:val="sr-RS"/>
        </w:rPr>
      </w:pPr>
      <w:r>
        <w:rPr>
          <w:sz w:val="28"/>
          <w:szCs w:val="28"/>
          <w:lang w:val="sr-RS"/>
        </w:rPr>
      </w:r>
    </w:p>
    <w:p>
      <w:pPr>
        <w:pStyle w:val="Normal"/>
        <w:rPr>
          <w:sz w:val="28"/>
          <w:szCs w:val="28"/>
          <w:u w:val="single"/>
          <w:lang w:val="sr-RS"/>
        </w:rPr>
      </w:pPr>
      <w:r>
        <w:rPr>
          <w:sz w:val="28"/>
          <w:szCs w:val="28"/>
          <w:lang w:val="sr-RS"/>
        </w:rPr>
        <w:t>•</w:t>
      </w:r>
      <w:r>
        <w:rPr>
          <w:sz w:val="28"/>
          <w:szCs w:val="28"/>
          <w:lang w:val="sr-RS"/>
        </w:rPr>
        <w:tab/>
      </w:r>
      <w:r>
        <w:rPr>
          <w:sz w:val="28"/>
          <w:szCs w:val="28"/>
          <w:u w:val="single"/>
          <w:lang w:val="sr-RS"/>
        </w:rPr>
        <w:t>Функција 111- Извршни и законодавни органи</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2101-0002 Функционисање извршних органа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Овај раздео обухвата позицију буџета 18  планирана средства у износу од 1.800.000,00 динара, конто 423 услуге по уговору, односи се на накнаде за рад чланова Општинског већа.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РАЗДЕО 4 ОПШТИНСКО ЈАВНО ПРАВОБРАНИЛАШТВО</w:t>
      </w:r>
    </w:p>
    <w:p>
      <w:pPr>
        <w:pStyle w:val="Normal"/>
        <w:rPr>
          <w:b/>
          <w:sz w:val="28"/>
          <w:szCs w:val="28"/>
          <w:lang w:val="sr-RS"/>
        </w:rPr>
      </w:pPr>
      <w:r>
        <w:rPr>
          <w:b/>
          <w:sz w:val="28"/>
          <w:szCs w:val="28"/>
          <w:lang w:val="sr-RS"/>
        </w:rPr>
        <w:t>0602 ОПШТЕ УСЛУГЕ ЛОКАЛНЕ САМОУПРАВЕ</w:t>
      </w:r>
    </w:p>
    <w:p>
      <w:pPr>
        <w:pStyle w:val="Normal"/>
        <w:rPr>
          <w:sz w:val="28"/>
          <w:szCs w:val="28"/>
          <w:u w:val="single"/>
          <w:lang w:val="sr-RS"/>
        </w:rPr>
      </w:pPr>
      <w:r>
        <w:rPr>
          <w:sz w:val="28"/>
          <w:szCs w:val="28"/>
          <w:lang w:val="sr-RS"/>
        </w:rPr>
        <w:t>•</w:t>
      </w:r>
      <w:r>
        <w:rPr>
          <w:sz w:val="28"/>
          <w:szCs w:val="28"/>
          <w:lang w:val="sr-RS"/>
        </w:rPr>
        <w:tab/>
      </w:r>
      <w:r>
        <w:rPr>
          <w:sz w:val="28"/>
          <w:szCs w:val="28"/>
          <w:u w:val="single"/>
          <w:lang w:val="sr-RS"/>
        </w:rPr>
        <w:t xml:space="preserve">Функција 330-Судови </w:t>
      </w:r>
    </w:p>
    <w:p>
      <w:pPr>
        <w:pStyle w:val="Normal"/>
        <w:rPr>
          <w:sz w:val="28"/>
          <w:szCs w:val="28"/>
          <w:u w:val="single"/>
          <w:lang w:val="sr-RS"/>
        </w:rPr>
      </w:pPr>
      <w:r>
        <w:rPr>
          <w:sz w:val="28"/>
          <w:szCs w:val="28"/>
          <w:u w:val="single"/>
          <w:lang w:val="sr-RS"/>
        </w:rPr>
      </w:r>
    </w:p>
    <w:p>
      <w:pPr>
        <w:pStyle w:val="Normal"/>
        <w:rPr>
          <w:b/>
          <w:sz w:val="28"/>
          <w:szCs w:val="28"/>
          <w:lang w:val="sr-RS"/>
        </w:rPr>
      </w:pPr>
      <w:r>
        <w:rPr>
          <w:b/>
          <w:sz w:val="28"/>
          <w:szCs w:val="28"/>
          <w:lang w:val="sr-RS"/>
        </w:rPr>
        <w:t>Програмска активност 0602-0004 Општинско/градско правобранилаштво</w:t>
      </w:r>
    </w:p>
    <w:p>
      <w:pPr>
        <w:pStyle w:val="Normal"/>
        <w:rPr>
          <w:sz w:val="28"/>
          <w:szCs w:val="28"/>
          <w:lang w:val="sr-RS"/>
        </w:rPr>
      </w:pPr>
      <w:r>
        <w:rPr>
          <w:sz w:val="28"/>
          <w:szCs w:val="28"/>
          <w:lang w:val="sr-RS"/>
        </w:rPr>
      </w:r>
    </w:p>
    <w:p>
      <w:pPr>
        <w:pStyle w:val="Normal"/>
        <w:jc w:val="both"/>
        <w:rPr>
          <w:sz w:val="28"/>
          <w:szCs w:val="28"/>
          <w:lang w:val="sr-RS"/>
        </w:rPr>
      </w:pPr>
      <w:r>
        <w:rPr>
          <w:sz w:val="28"/>
          <w:szCs w:val="28"/>
          <w:lang w:val="sr-RS"/>
        </w:rPr>
        <w:t>Овај раздео у укупном износу од 3.006.380,00 динара обухвата позиције 19-26. које су предвиђене за зараде и материјалне трошкове Општинског јавног правобраниоца конто 414 намењен је за социјална давања по Колективном уговору за запослене, конто 415 у износу 300.000,00 динара намењен је за трошкове превоза на посао и са посла, конто 422 односи се на трошкове путовања, конто 423 услуге по уговору у износу од 50.000,00 динара односи се на услуге образовања и усавршавања запослених и конто 426 у износу од 75.000,00 динара односи се стручну литературу за потребе запослених.</w:t>
      </w:r>
    </w:p>
    <w:p>
      <w:pPr>
        <w:pStyle w:val="Normal"/>
        <w:jc w:val="both"/>
        <w:rPr>
          <w:sz w:val="28"/>
          <w:szCs w:val="28"/>
          <w:lang w:val="sr-Latn-RS"/>
        </w:rPr>
      </w:pPr>
      <w:r>
        <w:rPr>
          <w:sz w:val="28"/>
          <w:szCs w:val="28"/>
          <w:lang w:val="sr-Latn-RS"/>
        </w:rPr>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 xml:space="preserve">РАЗДЕО 5 ОПШТИНСКА УПРАВА </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 xml:space="preserve">ПРОГРАМ 11: СОЦИЈАЛНА И ДЕЧИЈА ЗАШТИТА </w:t>
      </w:r>
    </w:p>
    <w:p>
      <w:pPr>
        <w:pStyle w:val="Normal"/>
        <w:jc w:val="both"/>
        <w:rPr>
          <w:b/>
          <w:sz w:val="28"/>
          <w:szCs w:val="28"/>
          <w:lang w:val="sr-RS"/>
        </w:rPr>
      </w:pPr>
      <w:r>
        <w:rPr>
          <w:b/>
          <w:sz w:val="28"/>
          <w:szCs w:val="28"/>
          <w:lang w:val="sr-RS"/>
        </w:rPr>
      </w:r>
    </w:p>
    <w:p>
      <w:pPr>
        <w:pStyle w:val="Normal"/>
        <w:jc w:val="both"/>
        <w:rPr>
          <w:sz w:val="28"/>
          <w:szCs w:val="28"/>
          <w:lang w:val="sr-RS"/>
        </w:rPr>
      </w:pPr>
      <w:r>
        <w:rPr>
          <w:sz w:val="28"/>
          <w:szCs w:val="28"/>
          <w:lang w:val="sr-RS"/>
        </w:rPr>
        <w:t>У оквиру програма дефинисани су циљеви и индикатори који се тичу унапређења родне равноправности. Циљ је утврђивање родно одговорних потреба за услугама социјалне заштите  у општини Ариље а индикатор је спроведена анализа процена потреба за услугама социјалне заштите у општини.</w:t>
      </w:r>
    </w:p>
    <w:p>
      <w:pPr>
        <w:pStyle w:val="Normal"/>
        <w:jc w:val="both"/>
        <w:rPr>
          <w:sz w:val="28"/>
          <w:szCs w:val="28"/>
          <w:lang w:val="sr-RS"/>
        </w:rPr>
      </w:pPr>
      <w:r>
        <w:rPr>
          <w:sz w:val="28"/>
          <w:szCs w:val="28"/>
          <w:lang w:val="sr-RS"/>
        </w:rPr>
      </w:r>
    </w:p>
    <w:p>
      <w:pPr>
        <w:pStyle w:val="Normal"/>
        <w:jc w:val="both"/>
        <w:rPr>
          <w:sz w:val="28"/>
          <w:szCs w:val="28"/>
          <w:lang w:val="sr-RS"/>
        </w:rPr>
      </w:pPr>
      <w:r>
        <w:rPr>
          <w:sz w:val="28"/>
          <w:szCs w:val="28"/>
          <w:lang w:val="sr-RS"/>
        </w:rPr>
        <w:t>Функционална класификација 040  - Породица и деца</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0902 – 0019 – Подршка деци и породици са децом</w:t>
      </w:r>
    </w:p>
    <w:p>
      <w:pPr>
        <w:pStyle w:val="Normal"/>
        <w:jc w:val="both"/>
        <w:rPr>
          <w:sz w:val="28"/>
          <w:szCs w:val="28"/>
          <w:lang w:val="sr-RS"/>
        </w:rPr>
      </w:pPr>
      <w:r>
        <w:rPr>
          <w:b/>
          <w:sz w:val="28"/>
          <w:szCs w:val="28"/>
          <w:lang w:val="sr-RS"/>
        </w:rPr>
        <w:t>Позиција 27</w:t>
      </w:r>
      <w:r>
        <w:rPr>
          <w:sz w:val="28"/>
          <w:szCs w:val="28"/>
          <w:lang w:val="sr-RS"/>
        </w:rPr>
        <w:t>, економска класификација 472000 – Накнаде за социјалну зашттиту из буџета, планирани износ се односи на: услуге личног пратиоца деце са са посебним потребама, износ од 14.500.000,00 динара, набавка опреме за новорођену децу износ од 2.500.000,00 динара и чланарина за Покрет за децу 3+, износ од 102.378,00 динара.</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0902 – 0020 – Подршка рађању и родитељству</w:t>
      </w:r>
    </w:p>
    <w:p>
      <w:pPr>
        <w:pStyle w:val="Normal"/>
        <w:jc w:val="both"/>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28</w:t>
      </w:r>
      <w:r>
        <w:rPr>
          <w:sz w:val="28"/>
          <w:szCs w:val="28"/>
          <w:lang w:val="sr-RS"/>
        </w:rPr>
        <w:t>, економска класификација 472000 – Накнаде за социјалну заштиту из буџета, планирани износ од 2.000.000,00 динара се односи на подршку брачним паровима у поступку вантелесне оплодње.</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Пројекат 0902-7002 – Увођење иновативне услуге породични саветник</w:t>
      </w:r>
    </w:p>
    <w:p>
      <w:pPr>
        <w:pStyle w:val="Normal"/>
        <w:jc w:val="both"/>
        <w:rPr>
          <w:b/>
          <w:sz w:val="28"/>
          <w:szCs w:val="28"/>
          <w:lang w:val="sr-RS"/>
        </w:rPr>
      </w:pPr>
      <w:r>
        <w:rPr>
          <w:b/>
          <w:sz w:val="28"/>
          <w:szCs w:val="28"/>
          <w:lang w:val="sr-RS"/>
        </w:rPr>
      </w:r>
    </w:p>
    <w:p>
      <w:pPr>
        <w:pStyle w:val="Normal"/>
        <w:jc w:val="both"/>
        <w:rPr>
          <w:sz w:val="28"/>
          <w:szCs w:val="28"/>
          <w:lang w:val="sr-RS"/>
        </w:rPr>
      </w:pPr>
      <w:r>
        <w:rPr>
          <w:b/>
          <w:sz w:val="28"/>
          <w:szCs w:val="28"/>
          <w:lang w:val="sr-RS"/>
        </w:rPr>
        <w:t>Позиција 29</w:t>
      </w:r>
      <w:r>
        <w:rPr>
          <w:sz w:val="28"/>
          <w:szCs w:val="28"/>
          <w:lang w:val="sr-RS"/>
        </w:rPr>
        <w:t xml:space="preserve">, економска класификација 423000 – Услуге по уговору, износ од 1.256.200,00 динара. Општина Ариље је закључила грант Уговор са Канцеларијом Уједињених нација за пројектне услуге (УНОПС)  дана </w:t>
      </w:r>
      <w:r>
        <w:rPr>
          <w:sz w:val="28"/>
          <w:szCs w:val="28"/>
          <w:lang w:val="sr-Latn-RS"/>
        </w:rPr>
        <w:t>03</w:t>
      </w:r>
      <w:r>
        <w:rPr>
          <w:sz w:val="28"/>
          <w:szCs w:val="28"/>
          <w:lang w:val="sr-RS"/>
        </w:rPr>
        <w:t xml:space="preserve">. априла 2025. године. Предмет Уговора је реализација пројекта за доприннос успостављању одрживог, ефективног и ефикасног локалног система социјалне заштите у општини Ариље. Рок за реализацију пројекта био је 27. јануар 2026. године. Обзиром да је уплата прве транше по уговору каснила, односно уплаћена у јуну месецу 2025. године, УНОПС је продужио рок за реализацију пројекта до краја марта 2026. године.  </w:t>
      </w:r>
    </w:p>
    <w:p>
      <w:pPr>
        <w:pStyle w:val="Normal"/>
        <w:jc w:val="both"/>
        <w:rPr>
          <w:sz w:val="28"/>
          <w:szCs w:val="28"/>
          <w:lang w:val="sr-RS"/>
        </w:rPr>
      </w:pPr>
      <w:r>
        <w:rPr>
          <w:sz w:val="28"/>
          <w:szCs w:val="28"/>
          <w:lang w:val="sr-RS"/>
        </w:rPr>
      </w:r>
    </w:p>
    <w:p>
      <w:pPr>
        <w:pStyle w:val="Normal"/>
        <w:jc w:val="both"/>
        <w:rPr>
          <w:sz w:val="28"/>
          <w:szCs w:val="28"/>
          <w:lang w:val="sr-RS"/>
        </w:rPr>
      </w:pPr>
      <w:r>
        <w:rPr>
          <w:sz w:val="28"/>
          <w:szCs w:val="28"/>
          <w:lang w:val="sr-RS"/>
        </w:rPr>
        <w:t>Функционална класификација 070  - Социјална помоћ угроженом становништву, некласификована на другом месту</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0902-0001 – Једнократне помоћи и други облици помоћи</w:t>
      </w:r>
    </w:p>
    <w:p>
      <w:pPr>
        <w:pStyle w:val="Normal"/>
        <w:jc w:val="both"/>
        <w:rPr>
          <w:b/>
          <w:sz w:val="28"/>
          <w:szCs w:val="28"/>
          <w:lang w:val="sr-RS"/>
        </w:rPr>
      </w:pPr>
      <w:r>
        <w:rPr>
          <w:b/>
          <w:sz w:val="28"/>
          <w:szCs w:val="28"/>
          <w:lang w:val="sr-RS"/>
        </w:rPr>
      </w:r>
    </w:p>
    <w:p>
      <w:pPr>
        <w:pStyle w:val="Normal"/>
        <w:jc w:val="both"/>
        <w:rPr>
          <w:sz w:val="28"/>
          <w:szCs w:val="28"/>
          <w:lang w:val="sr-RS"/>
        </w:rPr>
      </w:pPr>
      <w:r>
        <w:rPr>
          <w:b/>
          <w:sz w:val="28"/>
          <w:szCs w:val="28"/>
          <w:lang w:val="sr-RS"/>
        </w:rPr>
        <w:t>Позиција 30</w:t>
      </w:r>
      <w:r>
        <w:rPr>
          <w:sz w:val="28"/>
          <w:szCs w:val="28"/>
          <w:lang w:val="sr-RS"/>
        </w:rPr>
        <w:t>, економска класификација 472000 – Накнаде за социјалну помоћ из буџета, износ од 9.959.000,00 динара, планирана средства се односе на Центар за социјални рад Ариље и то: зарада за једног запосленог, једнократне помоћи износ од 5.500.000,00 динара и материјални трошкови.</w:t>
      </w:r>
    </w:p>
    <w:p>
      <w:pPr>
        <w:pStyle w:val="Normal"/>
        <w:jc w:val="both"/>
        <w:rPr>
          <w:sz w:val="28"/>
          <w:szCs w:val="28"/>
          <w:lang w:val="sr-RS"/>
        </w:rPr>
      </w:pPr>
      <w:r>
        <w:rPr>
          <w:sz w:val="28"/>
          <w:szCs w:val="28"/>
          <w:lang w:val="sr-RS"/>
        </w:rPr>
      </w:r>
    </w:p>
    <w:p>
      <w:pPr>
        <w:pStyle w:val="Normal"/>
        <w:jc w:val="both"/>
        <w:rPr>
          <w:sz w:val="28"/>
          <w:szCs w:val="28"/>
          <w:lang w:val="sr-RS"/>
        </w:rPr>
      </w:pPr>
      <w:r>
        <w:rPr>
          <w:sz w:val="28"/>
          <w:szCs w:val="28"/>
          <w:lang w:val="sr-RS"/>
        </w:rPr>
        <w:t>Функционална класификација 090  - Социјална заштита некласификована на другом месту</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0902 – 0016 – Дневне услуге у заједници</w:t>
      </w:r>
    </w:p>
    <w:p>
      <w:pPr>
        <w:pStyle w:val="Normal"/>
        <w:jc w:val="both"/>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31, </w:t>
      </w:r>
      <w:r>
        <w:rPr>
          <w:sz w:val="28"/>
          <w:szCs w:val="28"/>
          <w:lang w:val="sr-RS"/>
        </w:rPr>
        <w:t>економска класификација 472000 – Накнаде за социјалну заштиту из буџета, планиран је износ од 2.600.000,00 динара, и односи се на помоћ у кући за одрасла инвалидна лица и старија лица.</w:t>
      </w:r>
    </w:p>
    <w:p>
      <w:pPr>
        <w:pStyle w:val="Normal"/>
        <w:jc w:val="both"/>
        <w:rPr>
          <w:b/>
          <w:sz w:val="28"/>
          <w:szCs w:val="28"/>
          <w:lang w:val="sr-RS"/>
        </w:rPr>
      </w:pPr>
      <w:r>
        <w:rPr>
          <w:b/>
          <w:sz w:val="28"/>
          <w:szCs w:val="28"/>
          <w:lang w:val="sr-RS"/>
        </w:rPr>
      </w:r>
    </w:p>
    <w:p>
      <w:pPr>
        <w:pStyle w:val="Normal"/>
        <w:jc w:val="both"/>
        <w:rPr>
          <w:b/>
          <w:sz w:val="28"/>
          <w:szCs w:val="28"/>
          <w:lang w:val="sr-RS"/>
        </w:rPr>
      </w:pPr>
      <w:r>
        <w:rPr>
          <w:b/>
          <w:sz w:val="28"/>
          <w:szCs w:val="28"/>
          <w:lang w:val="sr-RS"/>
        </w:rPr>
        <w:t>Програмска активност 0902 – 0018 – Подршка реализацији Програма Црвеног крста</w:t>
      </w:r>
    </w:p>
    <w:p>
      <w:pPr>
        <w:pStyle w:val="Normal"/>
        <w:jc w:val="both"/>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32</w:t>
      </w:r>
      <w:r>
        <w:rPr>
          <w:sz w:val="28"/>
          <w:szCs w:val="28"/>
          <w:lang w:val="sr-RS"/>
        </w:rPr>
        <w:t xml:space="preserve">, економска класификација 481000 – Дотације невладиним организацијама, планирана средства у износу од 2.400.000,00 се односе на реализацију Програма рада Црвеног крста Ариље. Општинско веће општине Ариље је дало сагласност на Програм рада Црвеног крста Ариље за 2026. годину.  </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0902  - 0021 – Подршка особама са инвалидитетом</w:t>
      </w:r>
    </w:p>
    <w:p>
      <w:pPr>
        <w:pStyle w:val="Normal"/>
        <w:rPr>
          <w:sz w:val="28"/>
          <w:szCs w:val="28"/>
          <w:lang w:val="sr-RS"/>
        </w:rPr>
      </w:pPr>
      <w:r>
        <w:rPr>
          <w:sz w:val="28"/>
          <w:szCs w:val="28"/>
          <w:lang w:val="sr-RS"/>
        </w:rPr>
      </w:r>
    </w:p>
    <w:p>
      <w:pPr>
        <w:pStyle w:val="Normal"/>
        <w:rPr>
          <w:sz w:val="28"/>
          <w:szCs w:val="28"/>
          <w:lang w:val="sr-Latn-RS"/>
        </w:rPr>
      </w:pPr>
      <w:r>
        <w:rPr>
          <w:b/>
          <w:sz w:val="28"/>
          <w:szCs w:val="28"/>
          <w:lang w:val="sr-RS"/>
        </w:rPr>
        <w:t>Позиција 33</w:t>
      </w:r>
      <w:r>
        <w:rPr>
          <w:sz w:val="28"/>
          <w:szCs w:val="28"/>
          <w:lang w:val="sr-RS"/>
        </w:rPr>
        <w:t>, економска класификација 472000 – Накнаде за социјалну заштиту из буџета, планирани износ од 3.500.000,00 динара се односи на услуге клуба за особе са инвалидитетом.</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15: 0602 ОПШТЕ УСЛУГЕ ЛОКАЛНЕ САМОУПРАВЕ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130 – Опште услуге</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0602 – 0001 – Функционисање локалне самоуправе и градских општина</w:t>
      </w:r>
    </w:p>
    <w:p>
      <w:pPr>
        <w:pStyle w:val="Normal"/>
        <w:rPr>
          <w:b/>
          <w:sz w:val="28"/>
          <w:szCs w:val="28"/>
          <w:lang w:val="sr-RS"/>
        </w:rPr>
      </w:pPr>
      <w:r>
        <w:rPr>
          <w:b/>
          <w:sz w:val="28"/>
          <w:szCs w:val="28"/>
          <w:lang w:val="sr-RS"/>
        </w:rPr>
      </w:r>
    </w:p>
    <w:p>
      <w:pPr>
        <w:pStyle w:val="Normal"/>
        <w:jc w:val="both"/>
        <w:rPr>
          <w:sz w:val="28"/>
          <w:szCs w:val="28"/>
          <w:lang w:val="sr-RS"/>
        </w:rPr>
      </w:pPr>
      <w:r>
        <w:rPr>
          <w:sz w:val="28"/>
          <w:szCs w:val="28"/>
          <w:lang w:val="sr-RS"/>
        </w:rPr>
        <w:t xml:space="preserve">У оквиру ове програмске активности која обухвата позиције од </w:t>
      </w:r>
      <w:r>
        <w:rPr>
          <w:sz w:val="28"/>
          <w:szCs w:val="28"/>
        </w:rPr>
        <w:t>3</w:t>
      </w:r>
      <w:r>
        <w:rPr>
          <w:sz w:val="28"/>
          <w:szCs w:val="28"/>
          <w:lang w:val="sr-RS"/>
        </w:rPr>
        <w:t xml:space="preserve">4-50, планирана су средства у износу од </w:t>
      </w:r>
      <w:r>
        <w:rPr>
          <w:sz w:val="28"/>
          <w:szCs w:val="28"/>
        </w:rPr>
        <w:t>12</w:t>
      </w:r>
      <w:r>
        <w:rPr>
          <w:sz w:val="28"/>
          <w:szCs w:val="28"/>
          <w:lang w:val="sr-RS"/>
        </w:rPr>
        <w:t>9</w:t>
      </w:r>
      <w:r>
        <w:rPr>
          <w:sz w:val="28"/>
          <w:szCs w:val="28"/>
        </w:rPr>
        <w:t>.</w:t>
      </w:r>
      <w:r>
        <w:rPr>
          <w:sz w:val="28"/>
          <w:szCs w:val="28"/>
          <w:lang w:val="sr-RS"/>
        </w:rPr>
        <w:t>465</w:t>
      </w:r>
      <w:r>
        <w:rPr>
          <w:sz w:val="28"/>
          <w:szCs w:val="28"/>
        </w:rPr>
        <w:t>.</w:t>
      </w:r>
      <w:r>
        <w:rPr>
          <w:sz w:val="28"/>
          <w:szCs w:val="28"/>
          <w:lang w:val="sr-RS"/>
        </w:rPr>
        <w:t>720,00 динара потребна за редован рад и финансирање целокупних материјалних трошкова Општинске управе. Конто 414 у износу 2.400.000,00 динара односи се на исплату боловања преко 30 дана, помоћ у медицинском лечењу запослених, отпремнине за одлазак у пензију и помоћ у случају смрти по Колективном уговору за запослене; конто 415 у износу 2.400.000,00 динара односи се на превоз запослених на посао и с посла; конто 421 у износу од 21.151.000,00 динара односи се на трошкове платног промента, трошкове електричне енергије и грејања, услуге водовода и канализације, осигурање, интернет, мобилни телефон, услуге доставе; конто 422 у укупном износу од 500.000,00 динара односи се на трошкове путовања; конто 423 у укупном износу од 16.141.000,00 динара односи се на уговоре о привремено-повременим пословима, програм Локалне пореске администрације, програм Завода за унапређење пословања – рачуноводство и саветник, котизација за семинаре, издаци за стручне испите, објављивање тендера, услуге ревизије, накнаде члановима комисија и угоститељске услуге – Градска слава износ од 1.190.000,0 динара,; конто 424 у укупном износу 2.600.000,00 динара односи се на геодетске услуге износ од 1.190.000,00 динара, износ од 810.000,00 динара, услуге хватања паса луталица, износ од 300.000,00 динара уклањање угинулих животиња и износ од 300.000,00 динара за трошкове уклањања и рушење бесправно саграђених објеката;  конто 425 у износу 1.710.000,00 динара односи се на текуће поправке и одржавање опреме за саобраћај, рачунарске опреме, поправке и одржавање зграде ОУ; конто 426 у 4.610.000,00 динара односи се на канацеларијски материјал, цвеће, Службени гласник, Параграф...стручна литература за потребе запослених, инвентар за одржавање хигијене, гориво и остало; конто 463 у износу од 510.000,00 динара, односи се на финансирање материјалних трошкова Историјског архива Ужице; конто 481, планирана средства се односе на чланарину у СКГО; конто 482, планирана средства у износу од 450.000,00 динара се односе на порезе, таксе, казне и камате; конто 511, планирана средства у износу од 1.215.000,00 динара се односе на обавезу по уговору за израду пројекта за реконструкцију и доградњу Соколског дома у Ариљу, уговор закључен у августу месецу 2022. године; конто 512, планирани износ од 4.500.000,00 динара се односи на набавку аутомобила за потребе Општинске управе, износ од 3.000.000,00 динара и 1.500.000,00 динара набака рачунарске опреме и канцелариског намештаја и конто 515, планиран је износ од 30.000,00 динара, односи се на лиценце за запослене у Општинској управи.</w:t>
      </w:r>
    </w:p>
    <w:p>
      <w:pPr>
        <w:pStyle w:val="Normal"/>
        <w:jc w:val="both"/>
        <w:rPr>
          <w:sz w:val="28"/>
          <w:szCs w:val="28"/>
          <w:lang w:val="sr-RS"/>
        </w:rPr>
      </w:pPr>
      <w:r>
        <w:rPr>
          <w:sz w:val="28"/>
          <w:szCs w:val="28"/>
          <w:lang w:val="sr-RS"/>
        </w:rPr>
      </w:r>
    </w:p>
    <w:p>
      <w:pPr>
        <w:pStyle w:val="Normal"/>
        <w:jc w:val="both"/>
        <w:rPr>
          <w:sz w:val="28"/>
          <w:szCs w:val="28"/>
          <w:lang w:val="sr-RS"/>
        </w:rPr>
      </w:pPr>
      <w:r>
        <w:rPr>
          <w:sz w:val="28"/>
          <w:szCs w:val="28"/>
          <w:lang w:val="sr-RS"/>
        </w:rPr>
        <w:t>Функционална класификација 160 – Опште јавне услуге неклсификоване на другом месту</w:t>
      </w:r>
    </w:p>
    <w:p>
      <w:pPr>
        <w:pStyle w:val="Normal"/>
        <w:jc w:val="both"/>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51</w:t>
      </w:r>
      <w:r>
        <w:rPr>
          <w:sz w:val="28"/>
          <w:szCs w:val="28"/>
          <w:lang w:val="sr-RS"/>
        </w:rPr>
        <w:t>, економска класификација 483000 – новчане казне и пенали по решењу судова, планиран је износ од 10.000.000,00 динара.</w:t>
      </w:r>
    </w:p>
    <w:p>
      <w:pPr>
        <w:pStyle w:val="Normal"/>
        <w:jc w:val="both"/>
        <w:rPr>
          <w:sz w:val="28"/>
          <w:szCs w:val="28"/>
          <w:lang w:val="sr-RS"/>
        </w:rPr>
      </w:pPr>
      <w:r>
        <w:rPr>
          <w:b/>
          <w:sz w:val="28"/>
          <w:szCs w:val="28"/>
          <w:lang w:val="sr-RS"/>
        </w:rPr>
        <w:t>Позиција 52</w:t>
      </w:r>
      <w:r>
        <w:rPr>
          <w:sz w:val="28"/>
          <w:szCs w:val="28"/>
          <w:lang w:val="sr-RS"/>
        </w:rPr>
        <w:t>, економска класификација 484000 – накнада штете за повреде или штету нанету услед елементарних непогода или других природних узрока, планиран је износ од 1.000.000,00 динара.</w:t>
      </w:r>
    </w:p>
    <w:p>
      <w:pPr>
        <w:pStyle w:val="Normal"/>
        <w:jc w:val="both"/>
        <w:rPr>
          <w:sz w:val="28"/>
          <w:szCs w:val="28"/>
          <w:lang w:val="sr-RS"/>
        </w:rPr>
      </w:pPr>
      <w:r>
        <w:rPr>
          <w:b/>
          <w:sz w:val="28"/>
          <w:szCs w:val="28"/>
          <w:lang w:val="sr-RS"/>
        </w:rPr>
        <w:t>Позиција 53</w:t>
      </w:r>
      <w:r>
        <w:rPr>
          <w:sz w:val="28"/>
          <w:szCs w:val="28"/>
          <w:lang w:val="sr-RS"/>
        </w:rPr>
        <w:t>, економска класификација 485000 – накнада штете за повреде или штету нанету од стране државних органа, планиран је износ од 5.000.000,00 динара, планирана средства се односе највише на накнаду штете нанету од уједа паса луталица.</w:t>
      </w:r>
    </w:p>
    <w:p>
      <w:pPr>
        <w:pStyle w:val="Normal"/>
        <w:jc w:val="both"/>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0602 -0009 - Текућа буџетска резерва</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За текућу буџетску резерву на позицији 54. планирана су средства у износу од 10.000.000,00 динара. Ова средства се користе за непланиране сврхе за које нису утврђене апропријације или за сврхе за које се у току године покаже да апропријације нису биле довољне.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0602 -0010 - Стална буџетска резерва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 xml:space="preserve">За сталну буџетску резерву </w:t>
      </w:r>
      <w:r>
        <w:rPr>
          <w:sz w:val="28"/>
          <w:szCs w:val="28"/>
          <w:lang w:val="sr-Latn-RS"/>
        </w:rPr>
        <w:t xml:space="preserve"> </w:t>
      </w:r>
      <w:r>
        <w:rPr>
          <w:sz w:val="28"/>
          <w:szCs w:val="28"/>
          <w:lang w:val="sr-RS"/>
        </w:rPr>
        <w:t>на позицији 55 планирана су средства у износу од 300.000,00 динара.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 xml:space="preserve">Функционална класификација 220 – Цивилна одбрана </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0602 – 0014 – Управљање у ванредним ситуацијама</w:t>
      </w:r>
    </w:p>
    <w:p>
      <w:pPr>
        <w:pStyle w:val="Normal"/>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56</w:t>
      </w:r>
      <w:r>
        <w:rPr>
          <w:sz w:val="28"/>
          <w:szCs w:val="28"/>
          <w:lang w:val="sr-RS"/>
        </w:rPr>
        <w:t>, економска класификација 425000 – текуће поправке и одржавање, планирана су средства у износу од 50.000,00 динара и односе се на редовну контролу противпожарних апарата.</w:t>
      </w:r>
    </w:p>
    <w:p>
      <w:pPr>
        <w:pStyle w:val="Normal"/>
        <w:jc w:val="both"/>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57</w:t>
      </w:r>
      <w:r>
        <w:rPr>
          <w:sz w:val="28"/>
          <w:szCs w:val="28"/>
          <w:lang w:val="sr-RS"/>
        </w:rPr>
        <w:t>, економска класификација 426000 – материјал, планирана су средства у износу од 500.000,00 динара, а средства су планирана за набавку опреме за Добровољно ватрогасно друштво у Ариљу.</w:t>
      </w:r>
    </w:p>
    <w:p>
      <w:pPr>
        <w:pStyle w:val="Normal"/>
        <w:jc w:val="both"/>
        <w:rPr>
          <w:sz w:val="28"/>
          <w:szCs w:val="28"/>
          <w:lang w:val="sr-RS"/>
        </w:rPr>
      </w:pPr>
      <w:r>
        <w:rPr>
          <w:sz w:val="28"/>
          <w:szCs w:val="28"/>
          <w:lang w:val="sr-RS"/>
        </w:rPr>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w:t>
      </w:r>
      <w:r>
        <w:rPr>
          <w:b/>
          <w:sz w:val="28"/>
          <w:szCs w:val="28"/>
          <w:lang w:val="sr-Latn-RS"/>
        </w:rPr>
        <w:t xml:space="preserve"> 7:</w:t>
      </w:r>
      <w:r>
        <w:rPr>
          <w:b/>
          <w:sz w:val="28"/>
          <w:szCs w:val="28"/>
          <w:lang w:val="sr-RS"/>
        </w:rPr>
        <w:t xml:space="preserve"> 0701 </w:t>
      </w:r>
      <w:r>
        <w:rPr>
          <w:b/>
          <w:sz w:val="28"/>
          <w:szCs w:val="28"/>
          <w:lang w:val="sr-Latn-RS"/>
        </w:rPr>
        <w:t xml:space="preserve"> </w:t>
      </w:r>
      <w:r>
        <w:rPr>
          <w:b/>
          <w:sz w:val="28"/>
          <w:szCs w:val="28"/>
          <w:lang w:val="sr-RS"/>
        </w:rPr>
        <w:t>ОРГАНИЗАЦИЈА САОБРАЋАЈА И САОБРАЋАЈНА ИНФРАСТРУКТУРА</w:t>
      </w:r>
    </w:p>
    <w:p>
      <w:pPr>
        <w:pStyle w:val="Normal"/>
        <w:jc w:val="both"/>
        <w:rPr>
          <w:b/>
          <w:sz w:val="28"/>
          <w:szCs w:val="28"/>
          <w:lang w:val="sr-RS"/>
        </w:rPr>
      </w:pPr>
      <w:r>
        <w:rPr>
          <w:b/>
          <w:sz w:val="28"/>
          <w:szCs w:val="28"/>
          <w:lang w:val="sr-RS"/>
        </w:rPr>
      </w:r>
    </w:p>
    <w:p>
      <w:pPr>
        <w:pStyle w:val="Normal"/>
        <w:jc w:val="both"/>
        <w:rPr>
          <w:b/>
          <w:sz w:val="28"/>
          <w:szCs w:val="28"/>
          <w:lang w:val="sr-RS"/>
        </w:rPr>
      </w:pPr>
      <w:r>
        <w:rPr>
          <w:b/>
          <w:sz w:val="28"/>
          <w:szCs w:val="28"/>
          <w:lang w:val="sr-RS"/>
        </w:rPr>
        <w:t>Програмска активност 0701 – 0005 – Унапређење безбедности саобраћаја</w:t>
      </w:r>
    </w:p>
    <w:p>
      <w:pPr>
        <w:pStyle w:val="Normal"/>
        <w:jc w:val="both"/>
        <w:rPr>
          <w:sz w:val="28"/>
          <w:szCs w:val="28"/>
          <w:lang w:val="sr-RS"/>
        </w:rPr>
      </w:pPr>
      <w:r>
        <w:rPr>
          <w:b/>
          <w:sz w:val="28"/>
          <w:szCs w:val="28"/>
          <w:lang w:val="sr-RS"/>
        </w:rPr>
        <w:t xml:space="preserve">Позиција 58, </w:t>
      </w:r>
      <w:r>
        <w:rPr>
          <w:sz w:val="28"/>
          <w:szCs w:val="28"/>
          <w:lang w:val="sr-RS"/>
        </w:rPr>
        <w:t>економска класификација 426000 – материјал, планирана су средства за набавку ауто седишта за новорођену децу, износ од 1.100.000,00 динара.</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 1501 – Локални економски развој</w:t>
      </w:r>
    </w:p>
    <w:p>
      <w:pPr>
        <w:pStyle w:val="Normal"/>
        <w:jc w:val="both"/>
        <w:rPr>
          <w:b/>
          <w:sz w:val="28"/>
          <w:szCs w:val="28"/>
          <w:lang w:val="sr-RS"/>
        </w:rPr>
      </w:pPr>
      <w:r>
        <w:rPr>
          <w:b/>
          <w:sz w:val="28"/>
          <w:szCs w:val="28"/>
          <w:lang w:val="sr-RS"/>
        </w:rPr>
      </w:r>
    </w:p>
    <w:p>
      <w:pPr>
        <w:pStyle w:val="Normal"/>
        <w:jc w:val="both"/>
        <w:rPr>
          <w:sz w:val="28"/>
          <w:szCs w:val="28"/>
          <w:lang w:val="sr-RS"/>
        </w:rPr>
      </w:pPr>
      <w:r>
        <w:rPr>
          <w:sz w:val="28"/>
          <w:szCs w:val="28"/>
          <w:lang w:val="sr-RS"/>
        </w:rPr>
        <w:t>Функционална класификација 411 – општи економски и комерцијални послови</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1501 – 0001 – Унапређење привредног и инвестиционог амбијента</w:t>
      </w:r>
    </w:p>
    <w:p>
      <w:pPr>
        <w:pStyle w:val="Normal"/>
        <w:jc w:val="both"/>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59, </w:t>
      </w:r>
      <w:r>
        <w:rPr>
          <w:sz w:val="28"/>
          <w:szCs w:val="28"/>
          <w:lang w:val="sr-RS"/>
        </w:rPr>
        <w:t>економска класификација 451000 –</w:t>
      </w:r>
      <w:r>
        <w:rPr>
          <w:b/>
          <w:sz w:val="28"/>
          <w:szCs w:val="28"/>
          <w:lang w:val="sr-RS"/>
        </w:rPr>
        <w:t xml:space="preserve"> </w:t>
      </w:r>
      <w:r>
        <w:rPr>
          <w:sz w:val="28"/>
          <w:szCs w:val="28"/>
          <w:lang w:val="sr-RS"/>
        </w:rPr>
        <w:t>субвенције јавним нефинансијским предузећима и организацијама, планирана су средства у износу од 2.300.000,00 динара а односе се на: члнарину у Регионалној развојној агенцији „Златибор“ износ од 1.800.000,00 динара и износ од 500.000,00 динара, средства су намењена реализацији пројекта Фондације „Ана и Владе Дивац“, који за циљ има самозапошљавање младих у области пољопривреде а једна од компоненти пројекта јесте подршка ученицима завршних разреда средње пољопривредне школе са домом ученика „Љубо Мићић“ у Пожеги који желе да развију породично газдинство.</w:t>
      </w:r>
    </w:p>
    <w:p>
      <w:pPr>
        <w:pStyle w:val="Normal"/>
        <w:jc w:val="both"/>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60</w:t>
      </w:r>
      <w:r>
        <w:rPr>
          <w:sz w:val="28"/>
          <w:szCs w:val="28"/>
          <w:lang w:val="sr-RS"/>
        </w:rPr>
        <w:t>, економска класификација 481000 – дотације невладиним организацијама, планирани износ се односи на чланство у организацији НАЛЕД.</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1501 – 0002 – Мере активне политике запошљавања</w:t>
      </w:r>
    </w:p>
    <w:p>
      <w:pPr>
        <w:pStyle w:val="Normal"/>
        <w:jc w:val="both"/>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61, </w:t>
      </w:r>
      <w:r>
        <w:rPr>
          <w:sz w:val="28"/>
          <w:szCs w:val="28"/>
          <w:lang w:val="sr-RS"/>
        </w:rPr>
        <w:t>економска класификација 464000 – Дотације организацијама за обавезно социјално осигурање, планиран је износ од 2.941.680,00 динара а према Локалном акционом плану запошљавања за период од 2024 до 2026 године где је предвиђено да општина Ариље учествује у реализацији мера активне политике запошљавања у износу од 2.941.680,00 динара а Република Србија, Национална служба за запошљавање у износу од 2.826.320,00 динара.</w:t>
      </w:r>
    </w:p>
    <w:p>
      <w:pPr>
        <w:pStyle w:val="Normal"/>
        <w:jc w:val="both"/>
        <w:rPr>
          <w:sz w:val="28"/>
          <w:szCs w:val="28"/>
          <w:lang w:val="sr-RS"/>
        </w:rPr>
      </w:pPr>
      <w:r>
        <w:rPr>
          <w:sz w:val="28"/>
          <w:szCs w:val="28"/>
          <w:lang w:val="sr-RS"/>
        </w:rPr>
        <w:t>Планирана средства су намењена: субвенцијама за самозапошљавање, јавни радови на којима се ангажују особе са инвалидитетом и мере стручне праксе.</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 5: 0101 – ПОЉОПРИВРЕДА И РУРАЛНИ РАЗВОЈ</w:t>
      </w:r>
    </w:p>
    <w:p>
      <w:pPr>
        <w:pStyle w:val="Normal"/>
        <w:jc w:val="both"/>
        <w:rPr>
          <w:sz w:val="28"/>
          <w:szCs w:val="28"/>
          <w:lang w:val="sr-RS"/>
        </w:rPr>
      </w:pPr>
      <w:r>
        <w:rPr>
          <w:sz w:val="28"/>
          <w:szCs w:val="28"/>
          <w:lang w:val="sr-RS"/>
        </w:rPr>
      </w:r>
    </w:p>
    <w:p>
      <w:pPr>
        <w:pStyle w:val="Normal"/>
        <w:jc w:val="both"/>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421 - Пољопривреда</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0101 – 0001 – Подршка за спровођење пољопривредне политике у локалној заједници</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62, </w:t>
      </w:r>
      <w:r>
        <w:rPr>
          <w:sz w:val="28"/>
          <w:szCs w:val="28"/>
          <w:lang w:val="sr-RS"/>
        </w:rPr>
        <w:t>економска класификација 424000 – специјализоване услуге, планиран је износ од 300.000,00 динара.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0101 - 0002 – Мере подршке руралном развоју</w:t>
      </w:r>
    </w:p>
    <w:p>
      <w:pPr>
        <w:pStyle w:val="Normal"/>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63, </w:t>
      </w:r>
      <w:r>
        <w:rPr>
          <w:sz w:val="28"/>
          <w:szCs w:val="28"/>
          <w:lang w:val="sr-RS"/>
        </w:rPr>
        <w:t>економска класификација 424000 – специјализоване услуге, средства у износу од 3.000.000,00 динара планирана су за исплату накнаде за рад противградних стрелаца.</w:t>
      </w:r>
    </w:p>
    <w:p>
      <w:pPr>
        <w:pStyle w:val="Normal"/>
        <w:jc w:val="both"/>
        <w:rPr>
          <w:sz w:val="28"/>
          <w:szCs w:val="28"/>
          <w:lang w:val="sr-RS"/>
        </w:rPr>
      </w:pPr>
      <w:r>
        <w:rPr>
          <w:b/>
          <w:sz w:val="28"/>
          <w:szCs w:val="28"/>
          <w:lang w:val="sr-RS"/>
        </w:rPr>
        <w:t>Позиција 64</w:t>
      </w:r>
      <w:r>
        <w:rPr>
          <w:sz w:val="28"/>
          <w:szCs w:val="28"/>
          <w:lang w:val="sr-RS"/>
        </w:rPr>
        <w:t>, еконмска класификација 426000 – материјал, средства у износу од 4.000.000,00 динара планирана су за набавку противградних ракета.</w:t>
      </w:r>
    </w:p>
    <w:p>
      <w:pPr>
        <w:pStyle w:val="Normal"/>
        <w:jc w:val="both"/>
        <w:rPr>
          <w:sz w:val="28"/>
          <w:szCs w:val="28"/>
          <w:lang w:val="sr-RS"/>
        </w:rPr>
      </w:pPr>
      <w:r>
        <w:rPr>
          <w:b/>
          <w:sz w:val="28"/>
          <w:szCs w:val="28"/>
          <w:lang w:val="sr-RS"/>
        </w:rPr>
        <w:t>Позиција 65</w:t>
      </w:r>
      <w:r>
        <w:rPr>
          <w:sz w:val="28"/>
          <w:szCs w:val="28"/>
          <w:lang w:val="sr-RS"/>
        </w:rPr>
        <w:t>, економска класификација 451000 – субвенције јавним нефинансијским предузећима и огарнизацијама, планирана средства у износу од 4.500.000,00 динара намењена су подстицајима пољопривредним газдинствима за набавку опреме.</w:t>
      </w:r>
    </w:p>
    <w:p>
      <w:pPr>
        <w:pStyle w:val="Normal"/>
        <w:jc w:val="both"/>
        <w:rPr>
          <w:sz w:val="28"/>
          <w:szCs w:val="28"/>
          <w:lang w:val="sr-RS"/>
        </w:rPr>
      </w:pPr>
      <w:r>
        <w:rPr>
          <w:b/>
          <w:sz w:val="28"/>
          <w:szCs w:val="28"/>
          <w:lang w:val="sr-RS"/>
        </w:rPr>
        <w:t>Позиција 66</w:t>
      </w:r>
      <w:r>
        <w:rPr>
          <w:sz w:val="28"/>
          <w:szCs w:val="28"/>
          <w:lang w:val="sr-RS"/>
        </w:rPr>
        <w:t>, економска класификација 481000 – дотације невладиним организацијама, износ од 500.000,00 динара намењена су удружењима из области пољопривреде.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7: 0701 – ОРГАНИЗАЦИЈА САОБРАЋАЈА И САОБРАЋАЈНА ИНФРАСТРУКТУРА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451 – друмски саобраћај</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0701 – 0002 – Управљање и одржавање саобраћајне инфраструктуре</w:t>
      </w:r>
    </w:p>
    <w:p>
      <w:pPr>
        <w:pStyle w:val="Normal"/>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67, </w:t>
      </w:r>
      <w:r>
        <w:rPr>
          <w:sz w:val="28"/>
          <w:szCs w:val="28"/>
          <w:lang w:val="sr-RS"/>
        </w:rPr>
        <w:t>еконмска класификација 424000 – специјализоване услуге, планиран је износ од 15.000.000,00 динара а намењен је: зимско одржавање путева и улица износ од 13.000.000,00 динара; услуге хоризонталног обележавања саобраћајне сигнализације 1.150.000,00 динара; одржавање вертикалне саобраћајне сигнализације износ од 300.000,00 динара и износ од 550.000,00 динара намењен је набавци саобраћајних знакова.</w:t>
      </w:r>
    </w:p>
    <w:p>
      <w:pPr>
        <w:pStyle w:val="Normal"/>
        <w:jc w:val="both"/>
        <w:rPr>
          <w:sz w:val="28"/>
          <w:szCs w:val="28"/>
          <w:lang w:val="sr-RS"/>
        </w:rPr>
      </w:pPr>
      <w:r>
        <w:rPr>
          <w:b/>
          <w:sz w:val="28"/>
          <w:szCs w:val="28"/>
          <w:lang w:val="sr-RS"/>
        </w:rPr>
        <w:t>Позиција 68</w:t>
      </w:r>
      <w:r>
        <w:rPr>
          <w:sz w:val="28"/>
          <w:szCs w:val="28"/>
          <w:lang w:val="sr-RS"/>
        </w:rPr>
        <w:t>, економска класификација 425000 – текуће поправке и одржавање, планиран је износ од 29.600.000,00 динара а немењен је: услуге машинског кошења траве поред општинских путева у износу од 1.800.000,00 динара; услуге раскресивања шибља и грања високог растиња планиран је износ од 1.800.000,00 динара; радови на крпљењу ударних рупа на улицама и локалним путевима на територији општине планиран је износ од 10.000.000,00 динара; радови на летњем одржавању путева и улица износ од 12.000.000,00 динара; радови на санацији клизишта износ од 2.000.000,00 динара и средства у износу од 2.000.000,00 динара за санацију штете у случају проглашења ванредне ситуације.</w:t>
      </w:r>
    </w:p>
    <w:p>
      <w:pPr>
        <w:pStyle w:val="Normal"/>
        <w:jc w:val="both"/>
        <w:rPr>
          <w:sz w:val="28"/>
          <w:szCs w:val="28"/>
          <w:lang w:val="sr-RS"/>
        </w:rPr>
      </w:pPr>
      <w:r>
        <w:rPr>
          <w:b/>
          <w:sz w:val="28"/>
          <w:szCs w:val="28"/>
          <w:lang w:val="sr-RS"/>
        </w:rPr>
        <w:t>Позиција 69</w:t>
      </w:r>
      <w:r>
        <w:rPr>
          <w:sz w:val="28"/>
          <w:szCs w:val="28"/>
          <w:lang w:val="sr-RS"/>
        </w:rPr>
        <w:t>, економска класификација 511000 – зграде и грађевински објекти, планираје износ од 24.000.000,00 динара и то: пројектовање путне инфраструктуре износ од 1.000.000,00 динара и реконструкција путева и улица износ од 23.000.000,00 динара.</w:t>
      </w:r>
    </w:p>
    <w:p>
      <w:pPr>
        <w:pStyle w:val="Normal"/>
        <w:jc w:val="both"/>
        <w:rPr>
          <w:sz w:val="28"/>
          <w:szCs w:val="28"/>
          <w:lang w:val="sr-RS"/>
        </w:rPr>
      </w:pPr>
      <w:r>
        <w:rPr>
          <w:b/>
          <w:sz w:val="28"/>
          <w:szCs w:val="28"/>
          <w:lang w:val="sr-RS"/>
        </w:rPr>
        <w:t>Позиција 70</w:t>
      </w:r>
      <w:r>
        <w:rPr>
          <w:sz w:val="28"/>
          <w:szCs w:val="28"/>
          <w:lang w:val="sr-RS"/>
        </w:rPr>
        <w:t>, економска класификација 541000 – земљиште, планиран је износ од 2.500.000,00 динара а намењен је прибављању земљишта у јавну својину општине.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Пројекат 0701 – 5003 – Реконструкција улице Светог Ахилија</w:t>
      </w:r>
    </w:p>
    <w:p>
      <w:pPr>
        <w:pStyle w:val="Normal"/>
        <w:rPr>
          <w:sz w:val="28"/>
          <w:szCs w:val="28"/>
          <w:lang w:val="sr-RS"/>
        </w:rPr>
      </w:pPr>
      <w:r>
        <w:rPr>
          <w:sz w:val="28"/>
          <w:szCs w:val="28"/>
          <w:lang w:val="sr-RS"/>
        </w:rPr>
      </w:r>
    </w:p>
    <w:p>
      <w:pPr>
        <w:pStyle w:val="Normal"/>
        <w:rPr>
          <w:sz w:val="28"/>
          <w:szCs w:val="28"/>
          <w:lang w:val="sr-RS"/>
        </w:rPr>
      </w:pPr>
      <w:r>
        <w:rPr>
          <w:b/>
          <w:sz w:val="28"/>
          <w:szCs w:val="28"/>
          <w:lang w:val="sr-RS"/>
        </w:rPr>
        <w:t>Позиција 71</w:t>
      </w:r>
      <w:r>
        <w:rPr>
          <w:sz w:val="28"/>
          <w:szCs w:val="28"/>
          <w:lang w:val="sr-RS"/>
        </w:rPr>
        <w:t>, економска класификација 511000 – зграде и грађевински објекти, планиран је износ од 141.000.000,00 динара а односи се на услуге надзорног органа износ од 1.000.000,00 динара а износ од 140.000.000,00 динара за извођење радова на реконструкцији улице.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6: 0401 – ЗАШТИТА ЖИВОТНЕ СРЕДИНЕ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Финкционална класификација 510 – Управљање отпадом</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0401 – 0005 - Управљање комуналним отпадом</w:t>
      </w:r>
    </w:p>
    <w:p>
      <w:pPr>
        <w:pStyle w:val="Normal"/>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72, </w:t>
      </w:r>
      <w:r>
        <w:rPr>
          <w:sz w:val="28"/>
          <w:szCs w:val="28"/>
          <w:lang w:val="sr-RS"/>
        </w:rPr>
        <w:t>економска класификација 421000 – стални трошкови, планиран је износ од 21.000.000,00 динара а намењен је услугама транспорта и одлагања комуналног отпада.</w:t>
      </w:r>
    </w:p>
    <w:p>
      <w:pPr>
        <w:pStyle w:val="Normal"/>
        <w:rPr>
          <w:sz w:val="28"/>
          <w:szCs w:val="28"/>
          <w:lang w:val="sr-RS"/>
        </w:rPr>
      </w:pPr>
      <w:r>
        <w:rPr>
          <w:b/>
          <w:sz w:val="28"/>
          <w:szCs w:val="28"/>
          <w:lang w:val="sr-RS"/>
        </w:rPr>
        <w:t>Позиција 73</w:t>
      </w:r>
      <w:r>
        <w:rPr>
          <w:sz w:val="28"/>
          <w:szCs w:val="28"/>
          <w:lang w:val="sr-RS"/>
        </w:rPr>
        <w:t>, економска класификација 451000 – субвенције јавним нефинансијским предузећима и организацијама, планиран је износ од 5.200.000,00 динара а по Споразуму о регулисању начина измирења обавеза општине Ариље према предузећу ЈКП „Дубоко“ и то по основу трошкова насталих приликом гашења пожара на телу депоније. По споразуму ЈКП „Дубоко“ на дан 08.01.2025. године има неспорно потраживање од општине Ариље у износу од 12.984.853,06 динара. Потписници  Споразума су се сагласили да ће општина Ариље у корист предузећа ЈКП „Дубоко“, Ужице издати 30 (тридесет) уредно регистрованих и попуњених меница са меничним овлашћењем на име дуга што је и учињено. Издате доспевају за наплату почев од 15.07.2025. године до 15.12.2027. гдоине.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520 – управљање отпадним водама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0401 – 0004 – Упрвљање опадним водама</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75, </w:t>
      </w:r>
      <w:r>
        <w:rPr>
          <w:sz w:val="28"/>
          <w:szCs w:val="28"/>
          <w:lang w:val="sr-RS"/>
        </w:rPr>
        <w:t>економска класификација 451000 – субвенције јавним нефинансијским предузећима и организацијама, планиран је износ од 1.200.000,00 динара а средства су намењена ЈКП Регионални центар за водне услуге „Скрапеж воде“.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530 – Смањење загађености</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0401 – 0002 – Праћење квалитета елемената животне средине</w:t>
      </w:r>
    </w:p>
    <w:p>
      <w:pPr>
        <w:pStyle w:val="Normal"/>
        <w:rPr>
          <w:sz w:val="28"/>
          <w:szCs w:val="28"/>
          <w:lang w:val="sr-RS"/>
        </w:rPr>
      </w:pPr>
      <w:r>
        <w:rPr>
          <w:b/>
          <w:sz w:val="28"/>
          <w:szCs w:val="28"/>
          <w:lang w:val="sr-RS"/>
        </w:rPr>
        <w:t>Позиција 76</w:t>
      </w:r>
      <w:r>
        <w:rPr>
          <w:sz w:val="28"/>
          <w:szCs w:val="28"/>
          <w:lang w:val="sr-RS"/>
        </w:rPr>
        <w:t>, економска класификација 424000 – специјализоване услуге, планиран је износ од 2.000.000,00 динара а односи се на: услуге праћења квалитета ваздуха износ од 1.150.000,00 динара; износ од 300.000,00 динара планиран је за услуге дератизације, дезинфекције и дезинсекције и износ од 550.000,00 динара планиран је на име трошкова контроле ефикасности мера дезинфекције, дезинсекције и дератизације. Министар здравља је 03. јуна 2025. године донео Одлуку о именовању Завода за биоциде и медицинску екологију референтном установом за контролу ефикасности спроведених мера дезинфекције, дезинсекције и дератизације и утврђивању начина финанисирања. По одлуци трошкове контроле сносе локалне самоуправе на чијој територији се мере спроводе и да су локалне самоуправе дужне да осигурају финансијска средства за спровођење контроле.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550 – Заштита животне средине – истраживање и развој</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Пројекат 0401 – 5010 – Побољшање отпорности на климу у Ариљу: Партипативни приступ за одрживу адаптацију</w:t>
      </w:r>
    </w:p>
    <w:p>
      <w:pPr>
        <w:pStyle w:val="Normal"/>
        <w:rPr>
          <w:sz w:val="28"/>
          <w:szCs w:val="28"/>
          <w:lang w:val="sr-RS"/>
        </w:rPr>
      </w:pPr>
      <w:r>
        <w:rPr>
          <w:b/>
          <w:sz w:val="28"/>
          <w:szCs w:val="28"/>
          <w:lang w:val="sr-RS"/>
        </w:rPr>
        <w:t>Позиције од 77 до 80</w:t>
      </w:r>
      <w:r>
        <w:rPr>
          <w:sz w:val="28"/>
          <w:szCs w:val="28"/>
          <w:lang w:val="sr-RS"/>
        </w:rPr>
        <w:t xml:space="preserve">, планирана средства у износу од 6.553.000,00 динара. </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 xml:space="preserve">ПРОГРАМ 2: 1102 – КОМУНАЛНЕ ДЕЛАТНОСТИ </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560 – Заштита животне средине некласификована на другом месту</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1102 – 0002 – Одржавање јавних зелених површина</w:t>
      </w:r>
    </w:p>
    <w:p>
      <w:pPr>
        <w:pStyle w:val="Normal"/>
        <w:rPr>
          <w:sz w:val="28"/>
          <w:szCs w:val="28"/>
          <w:lang w:val="sr-RS"/>
        </w:rPr>
      </w:pPr>
      <w:r>
        <w:rPr>
          <w:sz w:val="28"/>
          <w:szCs w:val="28"/>
          <w:lang w:val="sr-RS"/>
        </w:rPr>
      </w:r>
    </w:p>
    <w:p>
      <w:pPr>
        <w:pStyle w:val="Normal"/>
        <w:rPr>
          <w:sz w:val="28"/>
          <w:szCs w:val="28"/>
          <w:lang w:val="sr-RS"/>
        </w:rPr>
      </w:pPr>
      <w:r>
        <w:rPr>
          <w:b/>
          <w:sz w:val="28"/>
          <w:szCs w:val="28"/>
          <w:lang w:val="sr-RS"/>
        </w:rPr>
        <w:t xml:space="preserve">Позиција 81, </w:t>
      </w:r>
      <w:r>
        <w:rPr>
          <w:sz w:val="28"/>
          <w:szCs w:val="28"/>
          <w:lang w:val="sr-RS"/>
        </w:rPr>
        <w:t>економска класификација 424000 – специјализоване услуге, планиран је износ 7.006.000,00 динара а односи се на услуге одржавања јавних зелених површина. Ови послови су одлуком Скупштине општине поверени ЈКП „Зелен“.</w:t>
      </w:r>
    </w:p>
    <w:p>
      <w:pPr>
        <w:pStyle w:val="Normal"/>
        <w:rPr>
          <w:sz w:val="28"/>
          <w:szCs w:val="28"/>
          <w:lang w:val="sr-RS"/>
        </w:rPr>
      </w:pPr>
      <w:r>
        <w:rPr>
          <w:b/>
          <w:sz w:val="28"/>
          <w:szCs w:val="28"/>
          <w:lang w:val="sr-RS"/>
        </w:rPr>
        <w:t xml:space="preserve">Позиција </w:t>
      </w:r>
      <w:r>
        <w:rPr>
          <w:b/>
          <w:sz w:val="28"/>
          <w:szCs w:val="28"/>
          <w:lang w:val="sr-Latn-RS"/>
        </w:rPr>
        <w:t>8</w:t>
      </w:r>
      <w:r>
        <w:rPr>
          <w:b/>
          <w:sz w:val="28"/>
          <w:szCs w:val="28"/>
          <w:lang w:val="sr-RS"/>
        </w:rPr>
        <w:t>2</w:t>
      </w:r>
      <w:r>
        <w:rPr>
          <w:sz w:val="28"/>
          <w:szCs w:val="28"/>
          <w:lang w:val="sr-RS"/>
        </w:rPr>
        <w:t>, економска класификација 426000 – материјал, планиран је износ од 500.000,00 динара а намењен је набавци цвећа.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1102 – 0003 – Одржавање чистоће на површинама јавне намене</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83, </w:t>
      </w:r>
      <w:r>
        <w:rPr>
          <w:sz w:val="28"/>
          <w:szCs w:val="28"/>
          <w:lang w:val="sr-RS"/>
        </w:rPr>
        <w:t>економска класификација 424000 – специјализоване услуге планиран је износ од 10.154.000,00 динара а односи се на услуге хигијенизације градских улица. Ови послови су Одлуком Скупштине општине поверени ЈКП „Зелен“.</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17:  0501 – ЕНЕРГЕТСКА ЕФИКАСНОСТ И ОБНОВЉИВИ ИЗВОРИ ЕНЕРГИЈЕ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620 – развој заједнице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Пројекат 0501 – 7009 – Енергетска санација стамбених зграда и породичних кућа</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84, </w:t>
      </w:r>
      <w:r>
        <w:rPr>
          <w:sz w:val="28"/>
          <w:szCs w:val="28"/>
          <w:lang w:val="sr-RS"/>
        </w:rPr>
        <w:t>економска класификација 454000 – Субвенције приватним предузећима, планиран је износ од 4.500.000,00 динара</w:t>
      </w:r>
      <w:r>
        <w:rPr>
          <w:sz w:val="28"/>
          <w:szCs w:val="28"/>
          <w:lang w:val="sr-Latn-RS"/>
        </w:rPr>
        <w:t xml:space="preserve">. </w:t>
      </w:r>
      <w:r>
        <w:rPr>
          <w:sz w:val="28"/>
          <w:szCs w:val="28"/>
          <w:lang w:val="sr-RS"/>
        </w:rPr>
        <w:t>Пројекат се суфинансира тако што Министарство учествује са 50% а општина Ариље такође учествује са 50%.</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 1101 – ПРОСТОРНО И УРБАНИСТИЧКО ПЛАНИРАЊЕ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620 – Развој заједнице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1101 – 0001 – Просторно и урбанистичко планирање</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85, </w:t>
      </w:r>
      <w:r>
        <w:rPr>
          <w:sz w:val="28"/>
          <w:szCs w:val="28"/>
          <w:lang w:val="sr-RS"/>
        </w:rPr>
        <w:t>економска класификација 511000 – зграде и грађевински објекти, планиран је износ од 10.000.000,00 динара. Средства су планирана за израду Плана генералне регулације. Општина Ариље у сарадњи са Комисијом за планове има потешкоћа у примени Плана генералне регулације односно Изменама и допунама плана који је усвојен у 2024. години, зато је неопходно приступити изради Плана генералне регулације.</w:t>
      </w:r>
    </w:p>
    <w:p>
      <w:pPr>
        <w:pStyle w:val="Normal"/>
        <w:rPr>
          <w:sz w:val="28"/>
          <w:szCs w:val="28"/>
          <w:lang w:val="sr-RS"/>
        </w:rPr>
      </w:pPr>
      <w:r>
        <w:rPr>
          <w:sz w:val="28"/>
          <w:szCs w:val="28"/>
          <w:lang w:val="sr-RS"/>
        </w:rPr>
      </w:r>
      <w:bookmarkStart w:id="340" w:name="_GoBack"/>
      <w:bookmarkStart w:id="341" w:name="_GoBack"/>
      <w:bookmarkEnd w:id="341"/>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2: 1102 – КОМУНАЛНЕ ДЕЛАТНОСТИ</w:t>
      </w:r>
    </w:p>
    <w:p>
      <w:pPr>
        <w:pStyle w:val="Normal"/>
        <w:rPr>
          <w:b/>
          <w:sz w:val="28"/>
          <w:szCs w:val="28"/>
          <w:lang w:val="sr-RS"/>
        </w:rPr>
      </w:pPr>
      <w:r>
        <w:rPr>
          <w:b/>
          <w:sz w:val="28"/>
          <w:szCs w:val="28"/>
          <w:lang w:val="sr-RS"/>
        </w:rPr>
      </w:r>
    </w:p>
    <w:p>
      <w:pPr>
        <w:pStyle w:val="Normal"/>
        <w:jc w:val="both"/>
        <w:rPr>
          <w:sz w:val="28"/>
          <w:szCs w:val="28"/>
          <w:lang w:val="sr-RS"/>
        </w:rPr>
      </w:pPr>
      <w:r>
        <w:rPr>
          <w:sz w:val="28"/>
          <w:szCs w:val="28"/>
          <w:lang w:val="sr-RS"/>
        </w:rPr>
        <w:t>Функционална класификација 630 - Водоснадбевање</w:t>
      </w:r>
    </w:p>
    <w:p>
      <w:pPr>
        <w:pStyle w:val="Normal"/>
        <w:jc w:val="both"/>
        <w:rPr>
          <w:sz w:val="28"/>
          <w:szCs w:val="28"/>
          <w:lang w:val="sr-RS"/>
        </w:rPr>
      </w:pPr>
      <w:r>
        <w:rPr>
          <w:sz w:val="28"/>
          <w:szCs w:val="28"/>
          <w:lang w:val="sr-RS"/>
        </w:rPr>
      </w:r>
    </w:p>
    <w:p>
      <w:pPr>
        <w:pStyle w:val="Normal"/>
        <w:jc w:val="both"/>
        <w:rPr>
          <w:b/>
          <w:sz w:val="28"/>
          <w:szCs w:val="28"/>
          <w:lang w:val="sr-RS"/>
        </w:rPr>
      </w:pPr>
      <w:r>
        <w:rPr>
          <w:b/>
          <w:sz w:val="28"/>
          <w:szCs w:val="28"/>
          <w:lang w:val="sr-RS"/>
        </w:rPr>
        <w:t>Програмска активност 1102 – 0008 – Управљање и снадбевање водом за пиће</w:t>
      </w:r>
    </w:p>
    <w:p>
      <w:pPr>
        <w:pStyle w:val="Normal"/>
        <w:jc w:val="both"/>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87, </w:t>
      </w:r>
      <w:r>
        <w:rPr>
          <w:sz w:val="28"/>
          <w:szCs w:val="28"/>
          <w:lang w:val="sr-RS"/>
        </w:rPr>
        <w:t>економска класификација 511000 – зграде и грађевински објекти, планиран је износ од 1.000.000,00 динара а средства су планирана за израду пројектне документације за водоводну мрежу.</w:t>
      </w:r>
    </w:p>
    <w:p>
      <w:pPr>
        <w:pStyle w:val="Normal"/>
        <w:jc w:val="both"/>
        <w:rPr>
          <w:sz w:val="28"/>
          <w:szCs w:val="28"/>
          <w:lang w:val="sr-RS"/>
        </w:rPr>
      </w:pPr>
      <w:r>
        <w:rPr>
          <w:sz w:val="28"/>
          <w:szCs w:val="28"/>
          <w:lang w:val="sr-RS"/>
        </w:rPr>
      </w:r>
    </w:p>
    <w:p>
      <w:pPr>
        <w:pStyle w:val="Normal"/>
        <w:jc w:val="both"/>
        <w:rPr>
          <w:sz w:val="28"/>
          <w:szCs w:val="28"/>
          <w:lang w:val="sr-RS"/>
        </w:rPr>
      </w:pPr>
      <w:r>
        <w:rPr>
          <w:b/>
          <w:sz w:val="28"/>
          <w:szCs w:val="28"/>
          <w:lang w:val="sr-RS"/>
        </w:rPr>
        <w:t>Позиција 88</w:t>
      </w:r>
      <w:r>
        <w:rPr>
          <w:sz w:val="28"/>
          <w:szCs w:val="28"/>
          <w:lang w:val="sr-RS"/>
        </w:rPr>
        <w:t>, економска класификација 621000 – набавка домаће финансијске имовине, средства су на овој позицији планирана на име учешћа општине Ариље у финанисрању наставка изградње бране са акумулацијом „Ариље – профил Сврачково“</w:t>
      </w:r>
    </w:p>
    <w:p>
      <w:pPr>
        <w:pStyle w:val="Normal"/>
        <w:jc w:val="both"/>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640 – Улична расвета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1102 – 0001  - Управљње/одржавање јавним осветљењем</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89, </w:t>
      </w:r>
      <w:r>
        <w:rPr>
          <w:sz w:val="28"/>
          <w:szCs w:val="28"/>
          <w:lang w:val="sr-RS"/>
        </w:rPr>
        <w:t>економска класификација 421000 – стални трошкови, планирана средства се односе на трошкове јавне расвете.</w:t>
      </w:r>
    </w:p>
    <w:p>
      <w:pPr>
        <w:pStyle w:val="Normal"/>
        <w:rPr>
          <w:sz w:val="28"/>
          <w:szCs w:val="28"/>
          <w:lang w:val="sr-RS"/>
        </w:rPr>
      </w:pPr>
      <w:r>
        <w:rPr>
          <w:sz w:val="28"/>
          <w:szCs w:val="28"/>
          <w:lang w:val="sr-RS"/>
        </w:rPr>
      </w:r>
    </w:p>
    <w:p>
      <w:pPr>
        <w:pStyle w:val="Normal"/>
        <w:rPr>
          <w:sz w:val="28"/>
          <w:szCs w:val="28"/>
          <w:lang w:val="sr-RS"/>
        </w:rPr>
      </w:pPr>
      <w:r>
        <w:rPr>
          <w:b/>
          <w:sz w:val="28"/>
          <w:szCs w:val="28"/>
          <w:lang w:val="sr-RS"/>
        </w:rPr>
        <w:t>Позиција 90</w:t>
      </w:r>
      <w:r>
        <w:rPr>
          <w:sz w:val="28"/>
          <w:szCs w:val="28"/>
          <w:lang w:val="sr-RS"/>
        </w:rPr>
        <w:t>, економска класификација 425000 –текуће поправке и одржавање, износ од 4.500.000,00 динара планирана су за поправку јавне расвете.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12: 1801 - ЗДРАВСТВЕНА ЗАШТИТА</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721 – Опште медицинске услуге</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1801 – 0002 - Мртвозорство</w:t>
      </w:r>
    </w:p>
    <w:p>
      <w:pPr>
        <w:pStyle w:val="Normal"/>
        <w:rPr>
          <w:sz w:val="28"/>
          <w:szCs w:val="28"/>
          <w:lang w:val="sr-RS"/>
        </w:rPr>
      </w:pPr>
      <w:r>
        <w:rPr>
          <w:sz w:val="28"/>
          <w:szCs w:val="28"/>
          <w:lang w:val="sr-RS"/>
        </w:rPr>
      </w:r>
    </w:p>
    <w:p>
      <w:pPr>
        <w:pStyle w:val="Normal"/>
        <w:rPr>
          <w:sz w:val="28"/>
          <w:szCs w:val="28"/>
          <w:lang w:val="sr-RS"/>
        </w:rPr>
      </w:pPr>
      <w:r>
        <w:rPr>
          <w:b/>
          <w:sz w:val="28"/>
          <w:szCs w:val="28"/>
          <w:lang w:val="sr-RS"/>
        </w:rPr>
        <w:t>Позиција 91</w:t>
      </w:r>
      <w:r>
        <w:rPr>
          <w:sz w:val="28"/>
          <w:szCs w:val="28"/>
          <w:lang w:val="sr-RS"/>
        </w:rPr>
        <w:t>, економска класификација 424000 – специјализоване услуге, износ од 800.000,00 динара планиран је за исплату накнаде за обављње послова у комисији за утврђивање времена и узрока смрти умрлих изван здравствене установе и издавање потврда о смрти на територији општине.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Функционална класификација 740 – Услуге јавног здравства</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1801 – 0001 – Функционисање установа примарне здравствене заштите</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Позиција 92</w:t>
      </w:r>
      <w:r>
        <w:rPr>
          <w:sz w:val="28"/>
          <w:szCs w:val="28"/>
          <w:lang w:val="sr-RS"/>
        </w:rPr>
        <w:t>, економска клсификација 464000 – дотације организацијама за обавезно социјално осигурање, планирана средства у износу од 2.000.000,00 динар намењена су Здравственом центру Ужице, Дом здравља у Ариљу.</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14:  1301 – РАЗВОЈ СПОРТА И ОМЛАДИНЕ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810 – Услуге рекреације и спорта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1301 – 0001 – Подршка локалним спортским организацијама, удружењима и савезима</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93, </w:t>
      </w:r>
      <w:r>
        <w:rPr>
          <w:sz w:val="28"/>
          <w:szCs w:val="28"/>
          <w:lang w:val="sr-RS"/>
        </w:rPr>
        <w:t>економска клаисфикација 481000 – дотације невладиним организацијама, планиран је износ од 23.000.000,00 динара. Средства су намењена за финансирање програм из области спорта.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 13: 1301 – РАЗВОЈ КУЛТУРЕ И ИНФОРМИСАЊА</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830 – Услуге емитовања и штампања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 xml:space="preserve">Програмска активност 1301 – 0004 – Остваривање и унапређивање јавног интереса у области јавног информисања </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94, </w:t>
      </w:r>
      <w:r>
        <w:rPr>
          <w:sz w:val="28"/>
          <w:szCs w:val="28"/>
          <w:lang w:val="sr-RS"/>
        </w:rPr>
        <w:t xml:space="preserve">економска класификација 423000 – услуге по уговору, износ од 2.000.000,00 динара планиран је за услуге емитовања информација (медијско праћење, снимање и емитовање активности општине Ариље) у току 2026. године. </w:t>
      </w:r>
    </w:p>
    <w:p>
      <w:pPr>
        <w:pStyle w:val="Normal"/>
        <w:rPr>
          <w:sz w:val="28"/>
          <w:szCs w:val="28"/>
          <w:lang w:val="sr-RS"/>
        </w:rPr>
      </w:pPr>
      <w:r>
        <w:rPr>
          <w:b/>
          <w:sz w:val="28"/>
          <w:szCs w:val="28"/>
          <w:lang w:val="sr-RS"/>
        </w:rPr>
        <w:t>Позиција 95</w:t>
      </w:r>
      <w:r>
        <w:rPr>
          <w:sz w:val="28"/>
          <w:szCs w:val="28"/>
          <w:lang w:val="sr-RS"/>
        </w:rPr>
        <w:t>, економска класификација 454000 – Субвеније приватним предузећима, планиарн је износ од 5.000.000,00 динара. Средства на овој позицији су планирана за суфинансирање пројеката за остваривање јавног интереса у области јавног информисања.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15: 0602 – ОПШТЕ УСЛУГЕ ЛОКАЛНЕ САМОУПРАВЕ</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840 – Верске и остале услуге заједнице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Пројекат: 0602 – 4006 – Одрживо функционисање НВО</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96, </w:t>
      </w:r>
      <w:r>
        <w:rPr>
          <w:sz w:val="28"/>
          <w:szCs w:val="28"/>
          <w:lang w:val="sr-RS"/>
        </w:rPr>
        <w:t>економска класификација 481000 – дотације невладиним организацијама, планиран је износ од 7.000.000,00 динара. средства су планирана за финансирање програма од јавног интереса  која реализују удружења а по спроведеном јавном конкурсу.</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13: 1201 – РАЗВОЈ КУЛТУРЕ И ИНФОРМИСАЊА</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840</w:t>
      </w:r>
      <w:r>
        <w:rPr>
          <w:b/>
          <w:sz w:val="28"/>
          <w:szCs w:val="28"/>
          <w:lang w:val="sr-RS"/>
        </w:rPr>
        <w:t xml:space="preserve"> – </w:t>
      </w:r>
      <w:r>
        <w:rPr>
          <w:sz w:val="28"/>
          <w:szCs w:val="28"/>
          <w:lang w:val="sr-RS"/>
        </w:rPr>
        <w:t>Верске и остале услуге заједнице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1201 – 0003 –Унапређење система очувања и представљања културно – историјског наслеђа</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Позиција 97, </w:t>
      </w:r>
      <w:r>
        <w:rPr>
          <w:sz w:val="28"/>
          <w:szCs w:val="28"/>
          <w:lang w:val="sr-RS"/>
        </w:rPr>
        <w:t xml:space="preserve">економска класификација 481000 – дотације невладиним организацијама, планиран је износ од 1.000.000,00 динара, Средства су опредљена за финансирање програма и пројеката цркава и верских заједница у 2026. години. </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9: 2003 –  ОСНОВО ОБРАЗОВАЊЕ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912 – основно образовање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2003 – 0001  - Реализација делатности основног образовања</w:t>
      </w:r>
    </w:p>
    <w:p>
      <w:pPr>
        <w:pStyle w:val="Normal"/>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98 – </w:t>
      </w:r>
      <w:r>
        <w:rPr>
          <w:sz w:val="28"/>
          <w:szCs w:val="28"/>
          <w:lang w:val="sr-RS"/>
        </w:rPr>
        <w:t>економска класификација 463000 – трансфери осталим нивоима власти, планирани износ од 85.834.000,00 динара се односи на финанисрање материјалних  трошкова четири основне школе на територији општине Ариље и Одељење музичке школе у Ариљу. Планирана средства су распоређена:</w:t>
      </w:r>
    </w:p>
    <w:p>
      <w:pPr>
        <w:pStyle w:val="ListParagraph"/>
        <w:numPr>
          <w:ilvl w:val="0"/>
          <w:numId w:val="1"/>
        </w:numPr>
        <w:jc w:val="both"/>
        <w:rPr>
          <w:sz w:val="28"/>
          <w:szCs w:val="28"/>
          <w:lang w:val="sr-RS"/>
        </w:rPr>
      </w:pPr>
      <w:r>
        <w:rPr>
          <w:sz w:val="28"/>
          <w:szCs w:val="28"/>
          <w:lang w:val="sr-RS"/>
        </w:rPr>
        <w:t>Основна школа „Стеван Чоловић“, Ариље – 33.780.000,00 динара</w:t>
      </w:r>
    </w:p>
    <w:p>
      <w:pPr>
        <w:pStyle w:val="ListParagraph"/>
        <w:numPr>
          <w:ilvl w:val="0"/>
          <w:numId w:val="1"/>
        </w:numPr>
        <w:jc w:val="both"/>
        <w:rPr>
          <w:sz w:val="28"/>
          <w:szCs w:val="28"/>
          <w:lang w:val="sr-RS"/>
        </w:rPr>
      </w:pPr>
      <w:r>
        <w:rPr>
          <w:sz w:val="28"/>
          <w:szCs w:val="28"/>
          <w:lang w:val="sr-RS"/>
        </w:rPr>
        <w:t>Основна школа „Светолик Лазаревић“, Бреково – 16.041.000,00 динара</w:t>
      </w:r>
    </w:p>
    <w:p>
      <w:pPr>
        <w:pStyle w:val="ListParagraph"/>
        <w:numPr>
          <w:ilvl w:val="0"/>
          <w:numId w:val="1"/>
        </w:numPr>
        <w:jc w:val="both"/>
        <w:rPr>
          <w:sz w:val="28"/>
          <w:szCs w:val="28"/>
          <w:lang w:val="sr-RS"/>
        </w:rPr>
      </w:pPr>
      <w:r>
        <w:rPr>
          <w:sz w:val="28"/>
          <w:szCs w:val="28"/>
          <w:lang w:val="sr-RS"/>
        </w:rPr>
        <w:t xml:space="preserve">Основна школа „ Ратко Јовановић“, Крушчица – 15.411.000,00 динара </w:t>
      </w:r>
    </w:p>
    <w:p>
      <w:pPr>
        <w:pStyle w:val="ListParagraph"/>
        <w:numPr>
          <w:ilvl w:val="0"/>
          <w:numId w:val="1"/>
        </w:numPr>
        <w:jc w:val="both"/>
        <w:rPr>
          <w:sz w:val="28"/>
          <w:szCs w:val="28"/>
          <w:lang w:val="sr-RS"/>
        </w:rPr>
      </w:pPr>
      <w:r>
        <w:rPr>
          <w:sz w:val="28"/>
          <w:szCs w:val="28"/>
          <w:lang w:val="sr-RS"/>
        </w:rPr>
        <w:t>Основна школа „Јездимир Трипковић“, Латвица – 19.402.000,00 динара и</w:t>
      </w:r>
    </w:p>
    <w:p>
      <w:pPr>
        <w:pStyle w:val="ListParagraph"/>
        <w:numPr>
          <w:ilvl w:val="0"/>
          <w:numId w:val="1"/>
        </w:numPr>
        <w:jc w:val="both"/>
        <w:rPr>
          <w:sz w:val="28"/>
          <w:szCs w:val="28"/>
          <w:lang w:val="sr-RS"/>
        </w:rPr>
      </w:pPr>
      <w:r>
        <w:rPr>
          <w:sz w:val="28"/>
          <w:szCs w:val="28"/>
          <w:lang w:val="sr-RS"/>
        </w:rPr>
        <w:t xml:space="preserve">Музичка школа „Војислав Лале Стефановић“, Ужице, Одељење у Ариљу – 1.200.000,00 динара </w:t>
      </w:r>
    </w:p>
    <w:p>
      <w:pPr>
        <w:pStyle w:val="ListParagraph"/>
        <w:rPr>
          <w:sz w:val="28"/>
          <w:szCs w:val="28"/>
          <w:lang w:val="sr-RS"/>
        </w:rPr>
      </w:pPr>
      <w:r>
        <w:rPr>
          <w:sz w:val="28"/>
          <w:szCs w:val="28"/>
          <w:lang w:val="sr-RS"/>
        </w:rPr>
      </w:r>
    </w:p>
    <w:p>
      <w:pPr>
        <w:pStyle w:val="Normal"/>
        <w:rPr>
          <w:b/>
          <w:sz w:val="28"/>
          <w:szCs w:val="28"/>
          <w:lang w:val="sr-RS"/>
        </w:rPr>
      </w:pPr>
      <w:r>
        <w:rPr>
          <w:b/>
          <w:sz w:val="28"/>
          <w:szCs w:val="28"/>
          <w:lang w:val="sr-RS"/>
        </w:rPr>
        <w:t>ПРОГРАМ 10: 2004 – СРЕДЊЕ ОБРАЗОВАЊЕ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920 – Средње образовање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2004 – 0001 – Реализација делатности средњег образовања</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Позиција 99</w:t>
      </w:r>
      <w:r>
        <w:rPr>
          <w:sz w:val="28"/>
          <w:szCs w:val="28"/>
          <w:lang w:val="sr-RS"/>
        </w:rPr>
        <w:t>, економска класификација 463000 – трансфери осталим нивоима власти, планиран је износ од 19.842.000,00 динара и намењен је финансирању материјалних трошкова Средње школе „Свети Ахилије“, Ариље.</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 15: 0602 – ОПШТЕ УСЛУГЕ ЛОКАЛНЕ САМОУПРАВЕ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950 – Образовање које није дефинисано нивоом</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0602 – 0001 – Функционисање локалне самоуправе и градских општина</w:t>
      </w:r>
    </w:p>
    <w:p>
      <w:pPr>
        <w:pStyle w:val="Normal"/>
        <w:rPr>
          <w:b/>
          <w:sz w:val="28"/>
          <w:szCs w:val="28"/>
          <w:lang w:val="sr-RS"/>
        </w:rPr>
      </w:pPr>
      <w:r>
        <w:rPr>
          <w:b/>
          <w:sz w:val="28"/>
          <w:szCs w:val="28"/>
          <w:lang w:val="sr-RS"/>
        </w:rPr>
      </w:r>
    </w:p>
    <w:p>
      <w:pPr>
        <w:pStyle w:val="Normal"/>
        <w:jc w:val="both"/>
        <w:rPr>
          <w:sz w:val="28"/>
          <w:szCs w:val="28"/>
          <w:lang w:val="sr-RS"/>
        </w:rPr>
      </w:pPr>
      <w:r>
        <w:rPr>
          <w:b/>
          <w:sz w:val="28"/>
          <w:szCs w:val="28"/>
          <w:lang w:val="sr-RS"/>
        </w:rPr>
        <w:t xml:space="preserve">Позиција 100, </w:t>
      </w:r>
      <w:r>
        <w:rPr>
          <w:sz w:val="28"/>
          <w:szCs w:val="28"/>
          <w:lang w:val="sr-RS"/>
        </w:rPr>
        <w:t>економска класификација 472000 – Накнаде за социјалну заштиту из буџета, планиран је износ од 30.600.000,00 динара и то за следеће намене: трошкови путовања ученика који похађају основну школу и предшколску установу на релацијама на којима нема организованог превоза планира је износ од 22.000.000,00 динара; једнократне помоћи за ђаке прваке на територији општине Ариље износ од 1.600.000,00 динара и ученичке и студентске стипендије, планиран је износ од 7.000.000,00 динара.</w:t>
      </w:r>
    </w:p>
    <w:p>
      <w:pPr>
        <w:pStyle w:val="Normal"/>
        <w:jc w:val="both"/>
        <w:rPr>
          <w:sz w:val="28"/>
          <w:szCs w:val="28"/>
          <w:lang w:val="sr-RS"/>
        </w:rPr>
      </w:pPr>
      <w:r>
        <w:rPr>
          <w:sz w:val="28"/>
          <w:szCs w:val="28"/>
          <w:lang w:val="sr-RS"/>
        </w:rPr>
      </w:r>
    </w:p>
    <w:p>
      <w:pPr>
        <w:pStyle w:val="Normal"/>
        <w:rPr>
          <w:b/>
          <w:sz w:val="28"/>
          <w:szCs w:val="28"/>
          <w:lang w:val="sr-RS"/>
        </w:rPr>
      </w:pPr>
      <w:r>
        <w:rPr>
          <w:b/>
          <w:sz w:val="28"/>
          <w:szCs w:val="28"/>
          <w:lang w:val="sr-RS"/>
        </w:rPr>
        <w:t>ПРОГРАМ 8: 2002 - ПРЕДШКОЛСКО ВАСПИТАЊЕ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911 – Предшколско образовање</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2002 – 0002 – Функционисање и остваривање предшколског васпитања и образовања</w:t>
      </w:r>
    </w:p>
    <w:p>
      <w:pPr>
        <w:pStyle w:val="Normal"/>
        <w:rPr>
          <w:sz w:val="28"/>
          <w:szCs w:val="28"/>
          <w:lang w:val="sr-RS"/>
        </w:rPr>
      </w:pPr>
      <w:r>
        <w:rPr>
          <w:sz w:val="28"/>
          <w:szCs w:val="28"/>
          <w:lang w:val="sr-RS"/>
        </w:rPr>
        <w:t>Планирана су средства на</w:t>
      </w:r>
      <w:r>
        <w:rPr>
          <w:b/>
          <w:sz w:val="28"/>
          <w:szCs w:val="28"/>
          <w:lang w:val="sr-RS"/>
        </w:rPr>
        <w:t xml:space="preserve"> позицијама од 101 до 114 </w:t>
      </w:r>
      <w:r>
        <w:rPr>
          <w:sz w:val="28"/>
          <w:szCs w:val="28"/>
          <w:lang w:val="sr-RS"/>
        </w:rPr>
        <w:t>у укупном износу од 207.754.885,00 динара и то из буџета општине изнс од 199.775.720,00 динара, приходи од родитељског динара за ваннаставне активности износ од 1.325.000,00 динара и средства из буџета Републике за припремни предшколски узраст износ од 6.654.165,00 динара.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15: 0602 – ОПШТЕ УСЛУГЕ ЛОКАЛНЕ САМОУПРАВЕ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160 – Опште јавне услуге некласификоване на другом месту</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0602 -0002 – Функционисање месних заједница</w:t>
      </w:r>
    </w:p>
    <w:p>
      <w:pPr>
        <w:pStyle w:val="Normal"/>
        <w:rPr>
          <w:b/>
          <w:sz w:val="28"/>
          <w:szCs w:val="28"/>
          <w:lang w:val="sr-RS"/>
        </w:rPr>
      </w:pPr>
      <w:r>
        <w:rPr>
          <w:b/>
          <w:sz w:val="28"/>
          <w:szCs w:val="28"/>
          <w:lang w:val="sr-RS"/>
        </w:rPr>
      </w:r>
    </w:p>
    <w:p>
      <w:pPr>
        <w:pStyle w:val="Normal"/>
        <w:rPr>
          <w:sz w:val="28"/>
          <w:szCs w:val="28"/>
          <w:lang w:val="sr-RS"/>
        </w:rPr>
      </w:pPr>
      <w:r>
        <w:rPr>
          <w:b/>
          <w:sz w:val="28"/>
          <w:szCs w:val="28"/>
          <w:lang w:val="sr-RS"/>
        </w:rPr>
        <w:t xml:space="preserve">На позицијама од 115 </w:t>
      </w:r>
      <w:r>
        <w:rPr>
          <w:sz w:val="28"/>
          <w:szCs w:val="28"/>
          <w:lang w:val="sr-RS"/>
        </w:rPr>
        <w:t>до</w:t>
      </w:r>
      <w:r>
        <w:rPr>
          <w:b/>
          <w:sz w:val="28"/>
          <w:szCs w:val="28"/>
          <w:lang w:val="sr-RS"/>
        </w:rPr>
        <w:t xml:space="preserve"> 117 </w:t>
      </w:r>
      <w:r>
        <w:rPr>
          <w:sz w:val="28"/>
          <w:szCs w:val="28"/>
          <w:lang w:val="sr-RS"/>
        </w:rPr>
        <w:t>планирана су средства у износу од 6.500.000,00 динара и односе се на трошкове редовног функционисања месних заједница.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13: 1201 – РАЗВОЈ КУЛТУРЕ И ИНФОРМИСАЊА</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t>Функционална класификација 820 – Услуге културе</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t>Програмска активност 1201 - 0001 – Функционисање локалних установа културе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Планирана су средства на позицијама од</w:t>
      </w:r>
      <w:r>
        <w:rPr>
          <w:b/>
          <w:sz w:val="28"/>
          <w:szCs w:val="28"/>
          <w:lang w:val="sr-RS"/>
        </w:rPr>
        <w:t xml:space="preserve"> 118 до 130 </w:t>
      </w:r>
      <w:r>
        <w:rPr>
          <w:sz w:val="28"/>
          <w:szCs w:val="28"/>
          <w:lang w:val="sr-RS"/>
        </w:rPr>
        <w:t>у укупном износу од 25.687.610,00 динара од чега из буџета општине</w:t>
      </w:r>
      <w:r>
        <w:rPr>
          <w:b/>
          <w:sz w:val="28"/>
          <w:szCs w:val="28"/>
          <w:lang w:val="sr-RS"/>
        </w:rPr>
        <w:t xml:space="preserve"> </w:t>
      </w:r>
      <w:r>
        <w:rPr>
          <w:sz w:val="28"/>
          <w:szCs w:val="28"/>
          <w:lang w:val="sr-RS"/>
        </w:rPr>
        <w:t xml:space="preserve">25.475.610,00 </w:t>
      </w:r>
      <w:r>
        <w:rPr>
          <w:sz w:val="28"/>
          <w:szCs w:val="28"/>
          <w:lang w:val="sr-Latn-RS"/>
        </w:rPr>
        <w:t xml:space="preserve"> </w:t>
      </w:r>
      <w:r>
        <w:rPr>
          <w:sz w:val="28"/>
          <w:szCs w:val="28"/>
          <w:lang w:val="sr-RS"/>
        </w:rPr>
        <w:t>и сопствена средства износ од 212.000,00 динара. Планирана средства се односе на расходе за запослене у Народној библиотеци „Добрило Ненадић“ као и материјалне трошкове установе.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1201 – 0002 – Јачање културне продукције и уметничког стваралаштва</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Планирана су средства на позицијама од</w:t>
      </w:r>
      <w:r>
        <w:rPr>
          <w:b/>
          <w:sz w:val="28"/>
          <w:szCs w:val="28"/>
          <w:lang w:val="sr-RS"/>
        </w:rPr>
        <w:t xml:space="preserve"> 131 </w:t>
      </w:r>
      <w:r>
        <w:rPr>
          <w:sz w:val="28"/>
          <w:szCs w:val="28"/>
          <w:lang w:val="sr-RS"/>
        </w:rPr>
        <w:t>до</w:t>
      </w:r>
      <w:r>
        <w:rPr>
          <w:b/>
          <w:sz w:val="28"/>
          <w:szCs w:val="28"/>
          <w:lang w:val="sr-RS"/>
        </w:rPr>
        <w:t xml:space="preserve"> 135 </w:t>
      </w:r>
      <w:r>
        <w:rPr>
          <w:sz w:val="28"/>
          <w:szCs w:val="28"/>
          <w:lang w:val="sr-RS"/>
        </w:rPr>
        <w:t>у износу од</w:t>
      </w:r>
      <w:r>
        <w:rPr>
          <w:b/>
          <w:sz w:val="28"/>
          <w:szCs w:val="28"/>
          <w:lang w:val="sr-RS"/>
        </w:rPr>
        <w:t xml:space="preserve"> </w:t>
      </w:r>
      <w:r>
        <w:rPr>
          <w:sz w:val="28"/>
          <w:szCs w:val="28"/>
          <w:lang w:val="sr-RS"/>
        </w:rPr>
        <w:t>3.920.000,00 динара. Ова програмска активност се финансира из средстава буџета у износу од 3.620.000,00 динара и 300.000,00 динара из сопствених прихода установе.</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 14: 1301 – РАЗВОЈ СПОРТА И ОМЛАДИНЕ</w:t>
      </w:r>
    </w:p>
    <w:p>
      <w:pPr>
        <w:pStyle w:val="Normal"/>
        <w:rPr>
          <w:b/>
          <w:sz w:val="28"/>
          <w:szCs w:val="28"/>
          <w:lang w:val="sr-RS"/>
        </w:rPr>
      </w:pPr>
      <w:r>
        <w:rPr>
          <w:b/>
          <w:sz w:val="28"/>
          <w:szCs w:val="28"/>
          <w:lang w:val="sr-RS"/>
        </w:rPr>
      </w:r>
    </w:p>
    <w:p>
      <w:pPr>
        <w:pStyle w:val="Normal"/>
        <w:rPr>
          <w:sz w:val="28"/>
          <w:szCs w:val="28"/>
          <w:lang w:val="sr-RS"/>
        </w:rPr>
      </w:pPr>
      <w:r>
        <w:rPr>
          <w:sz w:val="28"/>
          <w:szCs w:val="28"/>
          <w:lang w:val="sr-RS"/>
        </w:rPr>
        <w:t>Функционална класификација 810 – Услуге рекреације и спорта</w:t>
      </w:r>
    </w:p>
    <w:p>
      <w:pPr>
        <w:pStyle w:val="Normal"/>
        <w:rPr>
          <w:sz w:val="28"/>
          <w:szCs w:val="28"/>
          <w:lang w:val="sr-RS"/>
        </w:rPr>
      </w:pPr>
      <w:r>
        <w:rPr>
          <w:sz w:val="28"/>
          <w:szCs w:val="28"/>
          <w:lang w:val="sr-RS"/>
        </w:rPr>
      </w:r>
    </w:p>
    <w:p>
      <w:pPr>
        <w:pStyle w:val="Normal"/>
        <w:rPr>
          <w:b/>
          <w:sz w:val="28"/>
          <w:szCs w:val="28"/>
          <w:lang w:val="sr-RS"/>
        </w:rPr>
      </w:pPr>
      <w:r>
        <w:rPr>
          <w:b/>
          <w:sz w:val="28"/>
          <w:szCs w:val="28"/>
          <w:lang w:val="sr-RS"/>
        </w:rPr>
        <w:t>Програмска активност 1301 – 0004 – Функционисање локалних спортских установа</w:t>
      </w:r>
    </w:p>
    <w:p>
      <w:pPr>
        <w:pStyle w:val="Normal"/>
        <w:jc w:val="both"/>
        <w:rPr>
          <w:sz w:val="28"/>
          <w:szCs w:val="28"/>
          <w:lang w:val="sr-RS"/>
        </w:rPr>
      </w:pPr>
      <w:r>
        <w:rPr>
          <w:sz w:val="28"/>
          <w:szCs w:val="28"/>
          <w:lang w:val="sr-RS"/>
        </w:rPr>
        <w:t xml:space="preserve">На позицијама од </w:t>
      </w:r>
      <w:r>
        <w:rPr>
          <w:b/>
          <w:sz w:val="28"/>
          <w:szCs w:val="28"/>
          <w:lang w:val="sr-RS"/>
        </w:rPr>
        <w:t xml:space="preserve">136 </w:t>
      </w:r>
      <w:r>
        <w:rPr>
          <w:sz w:val="28"/>
          <w:szCs w:val="28"/>
          <w:lang w:val="sr-RS"/>
        </w:rPr>
        <w:t xml:space="preserve">до </w:t>
      </w:r>
      <w:r>
        <w:rPr>
          <w:b/>
          <w:sz w:val="28"/>
          <w:szCs w:val="28"/>
          <w:lang w:val="sr-RS"/>
        </w:rPr>
        <w:t>147</w:t>
      </w:r>
      <w:r>
        <w:rPr>
          <w:sz w:val="28"/>
          <w:szCs w:val="28"/>
          <w:lang w:val="sr-RS"/>
        </w:rPr>
        <w:t xml:space="preserve"> планирана су средства у  укупном износу од 23.097.470,00 динара за индиректног корисника Спортко туристички центар „Ариље“ и то средства из буџета у износу од 22.497.470,00 динара и сопствена средства установе у износу од 600.000,00 динара. Средства су планирана за расходе за запослене и  материјалне трошкове као и трошкове манифестација у организацији установе.</w:t>
      </w:r>
    </w:p>
    <w:p>
      <w:pPr>
        <w:pStyle w:val="Normal"/>
        <w:jc w:val="both"/>
        <w:rPr>
          <w:sz w:val="28"/>
          <w:szCs w:val="28"/>
          <w:lang w:val="sr-RS"/>
        </w:rPr>
      </w:pPr>
      <w:r>
        <w:rPr>
          <w:sz w:val="28"/>
          <w:szCs w:val="28"/>
          <w:lang w:val="sr-RS"/>
        </w:rPr>
        <w:t>Корисници средстава буџета општине Ариље ће посебно Скупштини општине доставити детаљан Програм пословања за 2026. годину.</w:t>
      </w:r>
    </w:p>
    <w:p>
      <w:pPr>
        <w:pStyle w:val="Normal"/>
        <w:rPr>
          <w:sz w:val="28"/>
          <w:szCs w:val="28"/>
          <w:lang w:val="sr-RS"/>
        </w:rPr>
      </w:pPr>
      <w:r>
        <w:rPr>
          <w:sz w:val="28"/>
          <w:szCs w:val="28"/>
          <w:lang w:val="sr-RS"/>
        </w:rPr>
      </w:r>
    </w:p>
    <w:p>
      <w:pPr>
        <w:pStyle w:val="Normal"/>
        <w:rPr>
          <w:sz w:val="28"/>
          <w:szCs w:val="28"/>
          <w:lang w:val="sr-RS"/>
        </w:rPr>
      </w:pPr>
      <w:r>
        <w:rPr>
          <w:sz w:val="28"/>
          <w:szCs w:val="28"/>
          <w:lang w:val="sr-RS"/>
        </w:rPr>
      </w:r>
    </w:p>
    <w:p>
      <w:pPr>
        <w:pStyle w:val="Normal"/>
        <w:rPr>
          <w:b/>
          <w:sz w:val="28"/>
          <w:szCs w:val="28"/>
          <w:lang w:val="sr-RS"/>
        </w:rPr>
      </w:pPr>
      <w:r>
        <w:rPr>
          <w:sz w:val="28"/>
          <w:szCs w:val="28"/>
          <w:lang w:val="sr-RS"/>
        </w:rPr>
        <w:tab/>
        <w:tab/>
        <w:tab/>
        <w:tab/>
        <w:tab/>
        <w:tab/>
        <w:tab/>
        <w:tab/>
        <w:tab/>
        <w:tab/>
        <w:tab/>
        <w:tab/>
        <w:tab/>
        <w:tab/>
      </w:r>
      <w:r>
        <w:rPr>
          <w:b/>
          <w:sz w:val="28"/>
          <w:szCs w:val="28"/>
          <w:lang w:val="sr-RS"/>
        </w:rPr>
        <w:t>ОБРАЂИВАЧ ОПШТИНСКА УПРАВА</w:t>
      </w:r>
    </w:p>
    <w:p>
      <w:pPr>
        <w:pStyle w:val="Normal"/>
        <w:rPr>
          <w:sz w:val="28"/>
          <w:szCs w:val="28"/>
          <w:lang w:val="sr-RS"/>
        </w:rPr>
      </w:pPr>
      <w:r>
        <w:rPr>
          <w:sz w:val="28"/>
          <w:szCs w:val="28"/>
          <w:lang w:val="sr-RS"/>
        </w:rPr>
        <w:tab/>
        <w:tab/>
        <w:tab/>
        <w:tab/>
        <w:tab/>
        <w:tab/>
        <w:tab/>
        <w:tab/>
        <w:tab/>
        <w:tab/>
        <w:tab/>
        <w:tab/>
        <w:tab/>
        <w:tab/>
        <w:t xml:space="preserve">Одељење за привреду и финансије </w:t>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r>
    </w:p>
    <w:p>
      <w:pPr>
        <w:pStyle w:val="Normal"/>
        <w:rPr>
          <w:b/>
          <w:sz w:val="28"/>
          <w:szCs w:val="28"/>
          <w:lang w:val="sr-RS"/>
        </w:rPr>
      </w:pPr>
      <w:r>
        <w:rPr>
          <w:b/>
          <w:sz w:val="28"/>
          <w:szCs w:val="28"/>
          <w:lang w:val="sr-RS"/>
        </w:rPr>
      </w:r>
    </w:p>
    <w:p>
      <w:pPr>
        <w:pStyle w:val="Normal"/>
        <w:rPr>
          <w:sz w:val="28"/>
          <w:szCs w:val="28"/>
        </w:rPr>
      </w:pPr>
      <w:r>
        <w:rPr>
          <w:sz w:val="28"/>
          <w:szCs w:val="28"/>
        </w:rPr>
      </w:r>
    </w:p>
    <w:sectPr>
      <w:headerReference w:type="default" r:id="rId104"/>
      <w:headerReference w:type="first" r:id="rId105"/>
      <w:footerReference w:type="default" r:id="rId106"/>
      <w:footerReference w:type="first" r:id="rId107"/>
      <w:type w:val="nextPage"/>
      <w:pgSz w:orient="landscape" w:w="16838" w:h="11906"/>
      <w:pgMar w:left="360" w:right="360" w:gutter="0" w:header="360" w:top="417" w:footer="360" w:bottom="41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swiss"/>
    <w:pitch w:val="variable"/>
  </w:font>
  <w:font w:name="Calibri">
    <w:charset w:val="ee"/>
    <w:family w:val="roman"/>
    <w:pitch w:val="variable"/>
  </w:font>
  <w:font w:name="Open Sans">
    <w:charset w:val="ee"/>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0" distL="114300" distR="114300" simplePos="0" locked="0" layoutInCell="1" allowOverlap="1" relativeHeight="140">
                            <wp:simplePos x="0" y="0"/>
                            <wp:positionH relativeFrom="column">
                              <wp:posOffset>635</wp:posOffset>
                            </wp:positionH>
                            <wp:positionV relativeFrom="paragraph">
                              <wp:posOffset>635</wp:posOffset>
                            </wp:positionV>
                            <wp:extent cx="635000" cy="635000"/>
                            <wp:effectExtent l="0" t="0" r="0" b="0"/>
                            <wp:wrapNone/>
                            <wp:docPr id="1" name="AutoShape 58"/>
                            <a:graphic xmlns:a="http://schemas.openxmlformats.org/drawingml/2006/main">
                              <a:graphicData uri="http://schemas.microsoft.com/office/word/2010/wordprocessingShape">
                                <wps:wsp>
                                  <wps:cNvSpPr/>
                                  <wps:nvSpPr>
                                    <wps:cNvPr id="2" name="AutoShape 58"/>
                                    <wps:cNvSpPr/>
                                  </wps:nvSpPr>
                                  <wps:spPr>
                                    <a:xfrm>
                                      <a:off x="0" y="0"/>
                                      <a:ext cx="635040" cy="635040"/>
                                    </a:xfrm>
                                    <a:prstGeom prst="rect">
                                      <a:avLst/>
                                    </a:prstGeom>
                                    <a:noFill/>
                                    <a:ln w="0">
                                      <a:noFill/>
                                    </a:ln>
                                  </wps:spPr>
                                  <wps:bodyPr/>
                                </wps:wsp>
                              </a:graphicData>
                            </a:graphic>
                          </wp:anchor>
                        </w:drawing>
                      </mc:Choice>
                      <mc:Fallback>
                        <w:pict>
                          <v:rect id="shape_0" ID="AutoShape 58" stroked="f" o:allowincell="t" style="position:absolute;margin-left:0.05pt;margin-top:0pt;width:49.95pt;height:49.95pt;mso-wrap-style:none;v-text-anchor:middle">
                            <v:fill o:detectmouseclick="t" on="false"/>
                            <v:stroke color="#3465a4" joinstyle="round" endcap="flat"/>
                            <w10:wrap type="none"/>
                          </v:rect>
                        </w:pict>
                      </mc:Fallback>
                    </mc:AlternateContent>
                    <w:drawing>
                      <wp:inline distT="0" distB="0" distL="0" distR="0">
                        <wp:extent cx="228600" cy="228600"/>
                        <wp:effectExtent l="0" t="0" r="0" b="0"/>
                        <wp:docPr id="3" name="Picture 1"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3</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27">
                            <wp:simplePos x="0" y="0"/>
                            <wp:positionH relativeFrom="column">
                              <wp:posOffset>635</wp:posOffset>
                            </wp:positionH>
                            <wp:positionV relativeFrom="paragraph">
                              <wp:posOffset>635</wp:posOffset>
                            </wp:positionV>
                            <wp:extent cx="635000" cy="635000"/>
                            <wp:effectExtent l="635" t="0" r="0" b="0"/>
                            <wp:wrapNone/>
                            <wp:docPr id="16"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17" name=""/>
                            <a:graphic xmlns:a="http://schemas.openxmlformats.org/drawingml/2006/main">
                              <a:graphicData uri="http://schemas.openxmlformats.org/drawingml/2006/picture">
                                <pic:pic xmlns:pic="http://schemas.openxmlformats.org/drawingml/2006/picture">
                                  <pic:nvPicPr>
                                    <pic:cNvPr id="18"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26</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30">
                            <wp:simplePos x="0" y="0"/>
                            <wp:positionH relativeFrom="column">
                              <wp:posOffset>635</wp:posOffset>
                            </wp:positionH>
                            <wp:positionV relativeFrom="paragraph">
                              <wp:posOffset>635</wp:posOffset>
                            </wp:positionV>
                            <wp:extent cx="635000" cy="635000"/>
                            <wp:effectExtent l="635" t="0" r="0" b="0"/>
                            <wp:wrapNone/>
                            <wp:docPr id="19"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20" name=""/>
                            <a:graphic xmlns:a="http://schemas.openxmlformats.org/drawingml/2006/main">
                              <a:graphicData uri="http://schemas.openxmlformats.org/drawingml/2006/picture">
                                <pic:pic xmlns:pic="http://schemas.openxmlformats.org/drawingml/2006/picture">
                                  <pic:nvPicPr>
                                    <pic:cNvPr id="21"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29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31">
                            <wp:simplePos x="0" y="0"/>
                            <wp:positionH relativeFrom="column">
                              <wp:posOffset>635</wp:posOffset>
                            </wp:positionH>
                            <wp:positionV relativeFrom="paragraph">
                              <wp:posOffset>635</wp:posOffset>
                            </wp:positionV>
                            <wp:extent cx="635000" cy="635000"/>
                            <wp:effectExtent l="635" t="0" r="0" b="0"/>
                            <wp:wrapNone/>
                            <wp:docPr id="22"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23" name=""/>
                            <a:graphic xmlns:a="http://schemas.openxmlformats.org/drawingml/2006/main">
                              <a:graphicData uri="http://schemas.openxmlformats.org/drawingml/2006/picture">
                                <pic:pic xmlns:pic="http://schemas.openxmlformats.org/drawingml/2006/picture">
                                  <pic:nvPicPr>
                                    <pic:cNvPr id="24"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30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55">
                            <wp:simplePos x="0" y="0"/>
                            <wp:positionH relativeFrom="column">
                              <wp:posOffset>635</wp:posOffset>
                            </wp:positionH>
                            <wp:positionV relativeFrom="paragraph">
                              <wp:posOffset>635</wp:posOffset>
                            </wp:positionV>
                            <wp:extent cx="635000" cy="635000"/>
                            <wp:effectExtent l="635" t="0" r="0" b="0"/>
                            <wp:wrapNone/>
                            <wp:docPr id="25"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26" name=""/>
                            <a:graphic xmlns:a="http://schemas.openxmlformats.org/drawingml/2006/main">
                              <a:graphicData uri="http://schemas.openxmlformats.org/drawingml/2006/picture">
                                <pic:pic xmlns:pic="http://schemas.openxmlformats.org/drawingml/2006/picture">
                                  <pic:nvPicPr>
                                    <pic:cNvPr id="27"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58">
                            <wp:simplePos x="0" y="0"/>
                            <wp:positionH relativeFrom="column">
                              <wp:posOffset>635</wp:posOffset>
                            </wp:positionH>
                            <wp:positionV relativeFrom="paragraph">
                              <wp:posOffset>635</wp:posOffset>
                            </wp:positionV>
                            <wp:extent cx="635000" cy="635000"/>
                            <wp:effectExtent l="635" t="0" r="0" b="0"/>
                            <wp:wrapNone/>
                            <wp:docPr id="28"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29" name=""/>
                            <a:graphic xmlns:a="http://schemas.openxmlformats.org/drawingml/2006/main">
                              <a:graphicData uri="http://schemas.openxmlformats.org/drawingml/2006/picture">
                                <pic:pic xmlns:pic="http://schemas.openxmlformats.org/drawingml/2006/picture">
                                  <pic:nvPicPr>
                                    <pic:cNvPr id="30"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57</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0" distL="114300" distR="114300" simplePos="0" locked="0" layoutInCell="1" allowOverlap="1" relativeHeight="141">
                            <wp:simplePos x="0" y="0"/>
                            <wp:positionH relativeFrom="column">
                              <wp:posOffset>635</wp:posOffset>
                            </wp:positionH>
                            <wp:positionV relativeFrom="paragraph">
                              <wp:posOffset>635</wp:posOffset>
                            </wp:positionV>
                            <wp:extent cx="635000" cy="635000"/>
                            <wp:effectExtent l="0" t="0" r="0" b="0"/>
                            <wp:wrapNone/>
                            <wp:docPr id="4" name="AutoShape 56"/>
                            <a:graphic xmlns:a="http://schemas.openxmlformats.org/drawingml/2006/main">
                              <a:graphicData uri="http://schemas.microsoft.com/office/word/2010/wordprocessingShape">
                                <wps:wsp>
                                  <wps:cNvSpPr/>
                                  <wps:nvSpPr>
                                    <wps:cNvPr id="5" name="AutoShape 56"/>
                                    <wps:cNvSpPr/>
                                  </wps:nvSpPr>
                                  <wps:spPr>
                                    <a:xfrm>
                                      <a:off x="0" y="0"/>
                                      <a:ext cx="635040" cy="635040"/>
                                    </a:xfrm>
                                    <a:prstGeom prst="rect">
                                      <a:avLst/>
                                    </a:prstGeom>
                                    <a:noFill/>
                                    <a:ln w="0">
                                      <a:noFill/>
                                    </a:ln>
                                  </wps:spPr>
                                  <wps:bodyPr/>
                                </wps:wsp>
                              </a:graphicData>
                            </a:graphic>
                          </wp:anchor>
                        </w:drawing>
                      </mc:Choice>
                      <mc:Fallback>
                        <w:pict>
                          <v:rect id="shape_0" ID="AutoShape 56" stroked="f" o:allowincell="t" style="position:absolute;margin-left:0.05pt;margin-top:0pt;width:49.95pt;height:49.95pt;mso-wrap-style:none;v-text-anchor:middle">
                            <v:fill o:detectmouseclick="t" on="false"/>
                            <v:stroke color="#3465a4" joinstyle="round" endcap="flat"/>
                            <w10:wrap type="none"/>
                          </v:rect>
                        </w:pict>
                      </mc:Fallback>
                    </mc:AlternateContent>
                    <w:drawing>
                      <wp:inline distT="0" distB="0" distL="0" distR="0">
                        <wp:extent cx="228600" cy="228600"/>
                        <wp:effectExtent l="0" t="0" r="0" b="0"/>
                        <wp:docPr id="6" name="Picture 2"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60">
                            <wp:simplePos x="0" y="0"/>
                            <wp:positionH relativeFrom="column">
                              <wp:posOffset>635</wp:posOffset>
                            </wp:positionH>
                            <wp:positionV relativeFrom="paragraph">
                              <wp:posOffset>635</wp:posOffset>
                            </wp:positionV>
                            <wp:extent cx="635000" cy="635000"/>
                            <wp:effectExtent l="635" t="0" r="0" b="0"/>
                            <wp:wrapNone/>
                            <wp:docPr id="31"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32" name=""/>
                            <a:graphic xmlns:a="http://schemas.openxmlformats.org/drawingml/2006/main">
                              <a:graphicData uri="http://schemas.openxmlformats.org/drawingml/2006/picture">
                                <pic:pic xmlns:pic="http://schemas.openxmlformats.org/drawingml/2006/picture">
                                  <pic:nvPicPr>
                                    <pic:cNvPr id="33"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59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61">
                            <wp:simplePos x="0" y="0"/>
                            <wp:positionH relativeFrom="column">
                              <wp:posOffset>635</wp:posOffset>
                            </wp:positionH>
                            <wp:positionV relativeFrom="paragraph">
                              <wp:posOffset>635</wp:posOffset>
                            </wp:positionV>
                            <wp:extent cx="635000" cy="635000"/>
                            <wp:effectExtent l="635" t="0" r="0" b="0"/>
                            <wp:wrapNone/>
                            <wp:docPr id="34"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35" name=""/>
                            <a:graphic xmlns:a="http://schemas.openxmlformats.org/drawingml/2006/main">
                              <a:graphicData uri="http://schemas.openxmlformats.org/drawingml/2006/picture">
                                <pic:pic xmlns:pic="http://schemas.openxmlformats.org/drawingml/2006/picture">
                                  <pic:nvPicPr>
                                    <pic:cNvPr id="36"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60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67">
                            <wp:simplePos x="0" y="0"/>
                            <wp:positionH relativeFrom="column">
                              <wp:posOffset>635</wp:posOffset>
                            </wp:positionH>
                            <wp:positionV relativeFrom="paragraph">
                              <wp:posOffset>635</wp:posOffset>
                            </wp:positionV>
                            <wp:extent cx="635000" cy="635000"/>
                            <wp:effectExtent l="635" t="0" r="0" b="0"/>
                            <wp:wrapNone/>
                            <wp:docPr id="37"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38" name=""/>
                            <a:graphic xmlns:a="http://schemas.openxmlformats.org/drawingml/2006/main">
                              <a:graphicData uri="http://schemas.openxmlformats.org/drawingml/2006/picture">
                                <pic:pic xmlns:pic="http://schemas.openxmlformats.org/drawingml/2006/picture">
                                  <pic:nvPicPr>
                                    <pic:cNvPr id="39"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66</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1">
                            <wp:simplePos x="0" y="0"/>
                            <wp:positionH relativeFrom="column">
                              <wp:posOffset>635</wp:posOffset>
                            </wp:positionH>
                            <wp:positionV relativeFrom="paragraph">
                              <wp:posOffset>635</wp:posOffset>
                            </wp:positionV>
                            <wp:extent cx="635000" cy="635000"/>
                            <wp:effectExtent l="635" t="0" r="0" b="0"/>
                            <wp:wrapNone/>
                            <wp:docPr id="40"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41" name=""/>
                            <a:graphic xmlns:a="http://schemas.openxmlformats.org/drawingml/2006/main">
                              <a:graphicData uri="http://schemas.openxmlformats.org/drawingml/2006/picture">
                                <pic:pic xmlns:pic="http://schemas.openxmlformats.org/drawingml/2006/picture">
                                  <pic:nvPicPr>
                                    <pic:cNvPr id="42"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2">
                            <wp:simplePos x="0" y="0"/>
                            <wp:positionH relativeFrom="column">
                              <wp:posOffset>635</wp:posOffset>
                            </wp:positionH>
                            <wp:positionV relativeFrom="paragraph">
                              <wp:posOffset>635</wp:posOffset>
                            </wp:positionV>
                            <wp:extent cx="635000" cy="635000"/>
                            <wp:effectExtent l="635" t="0" r="0" b="0"/>
                            <wp:wrapNone/>
                            <wp:docPr id="43"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44" name=""/>
                            <a:graphic xmlns:a="http://schemas.openxmlformats.org/drawingml/2006/main">
                              <a:graphicData uri="http://schemas.openxmlformats.org/drawingml/2006/picture">
                                <pic:pic xmlns:pic="http://schemas.openxmlformats.org/drawingml/2006/picture">
                                  <pic:nvPicPr>
                                    <pic:cNvPr id="45"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71</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3">
                            <wp:simplePos x="0" y="0"/>
                            <wp:positionH relativeFrom="column">
                              <wp:posOffset>635</wp:posOffset>
                            </wp:positionH>
                            <wp:positionV relativeFrom="paragraph">
                              <wp:posOffset>635</wp:posOffset>
                            </wp:positionV>
                            <wp:extent cx="635000" cy="635000"/>
                            <wp:effectExtent l="635" t="0" r="0" b="0"/>
                            <wp:wrapNone/>
                            <wp:docPr id="46"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47" name=""/>
                            <a:graphic xmlns:a="http://schemas.openxmlformats.org/drawingml/2006/main">
                              <a:graphicData uri="http://schemas.openxmlformats.org/drawingml/2006/picture">
                                <pic:pic xmlns:pic="http://schemas.openxmlformats.org/drawingml/2006/picture">
                                  <pic:nvPicPr>
                                    <pic:cNvPr id="48"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72</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4">
                            <wp:simplePos x="0" y="0"/>
                            <wp:positionH relativeFrom="column">
                              <wp:posOffset>635</wp:posOffset>
                            </wp:positionH>
                            <wp:positionV relativeFrom="paragraph">
                              <wp:posOffset>635</wp:posOffset>
                            </wp:positionV>
                            <wp:extent cx="635000" cy="635000"/>
                            <wp:effectExtent l="635" t="0" r="0" b="0"/>
                            <wp:wrapNone/>
                            <wp:docPr id="49"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50" name=""/>
                            <a:graphic xmlns:a="http://schemas.openxmlformats.org/drawingml/2006/main">
                              <a:graphicData uri="http://schemas.openxmlformats.org/drawingml/2006/picture">
                                <pic:pic xmlns:pic="http://schemas.openxmlformats.org/drawingml/2006/picture">
                                  <pic:nvPicPr>
                                    <pic:cNvPr id="51"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73</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5">
                            <wp:simplePos x="0" y="0"/>
                            <wp:positionH relativeFrom="column">
                              <wp:posOffset>635</wp:posOffset>
                            </wp:positionH>
                            <wp:positionV relativeFrom="paragraph">
                              <wp:posOffset>635</wp:posOffset>
                            </wp:positionV>
                            <wp:extent cx="635000" cy="635000"/>
                            <wp:effectExtent l="635" t="0" r="0" b="0"/>
                            <wp:wrapNone/>
                            <wp:docPr id="52"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53" name=""/>
                            <a:graphic xmlns:a="http://schemas.openxmlformats.org/drawingml/2006/main">
                              <a:graphicData uri="http://schemas.openxmlformats.org/drawingml/2006/picture">
                                <pic:pic xmlns:pic="http://schemas.openxmlformats.org/drawingml/2006/picture">
                                  <pic:nvPicPr>
                                    <pic:cNvPr id="54"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8">
                            <wp:simplePos x="0" y="0"/>
                            <wp:positionH relativeFrom="column">
                              <wp:posOffset>635</wp:posOffset>
                            </wp:positionH>
                            <wp:positionV relativeFrom="paragraph">
                              <wp:posOffset>635</wp:posOffset>
                            </wp:positionV>
                            <wp:extent cx="635000" cy="635000"/>
                            <wp:effectExtent l="635" t="0" r="0" b="0"/>
                            <wp:wrapNone/>
                            <wp:docPr id="55"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56" name=""/>
                            <a:graphic xmlns:a="http://schemas.openxmlformats.org/drawingml/2006/main">
                              <a:graphicData uri="http://schemas.openxmlformats.org/drawingml/2006/picture">
                                <pic:pic xmlns:pic="http://schemas.openxmlformats.org/drawingml/2006/picture">
                                  <pic:nvPicPr>
                                    <pic:cNvPr id="57"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77</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79">
                            <wp:simplePos x="0" y="0"/>
                            <wp:positionH relativeFrom="column">
                              <wp:posOffset>635</wp:posOffset>
                            </wp:positionH>
                            <wp:positionV relativeFrom="paragraph">
                              <wp:posOffset>635</wp:posOffset>
                            </wp:positionV>
                            <wp:extent cx="635000" cy="635000"/>
                            <wp:effectExtent l="635" t="0" r="0" b="0"/>
                            <wp:wrapNone/>
                            <wp:docPr id="58"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59" name=""/>
                            <a:graphic xmlns:a="http://schemas.openxmlformats.org/drawingml/2006/main">
                              <a:graphicData uri="http://schemas.openxmlformats.org/drawingml/2006/picture">
                                <pic:pic xmlns:pic="http://schemas.openxmlformats.org/drawingml/2006/picture">
                                  <pic:nvPicPr>
                                    <pic:cNvPr id="60"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78</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0" distL="114300" distR="114300" simplePos="0" locked="0" layoutInCell="1" allowOverlap="1" relativeHeight="144">
                            <wp:simplePos x="0" y="0"/>
                            <wp:positionH relativeFrom="column">
                              <wp:posOffset>635</wp:posOffset>
                            </wp:positionH>
                            <wp:positionV relativeFrom="paragraph">
                              <wp:posOffset>635</wp:posOffset>
                            </wp:positionV>
                            <wp:extent cx="635000" cy="635000"/>
                            <wp:effectExtent l="0" t="0" r="0" b="0"/>
                            <wp:wrapNone/>
                            <wp:docPr id="7" name="AutoShape 52"/>
                            <a:graphic xmlns:a="http://schemas.openxmlformats.org/drawingml/2006/main">
                              <a:graphicData uri="http://schemas.microsoft.com/office/word/2010/wordprocessingShape">
                                <wps:wsp>
                                  <wps:cNvSpPr/>
                                  <wps:nvSpPr>
                                    <wps:cNvPr id="8" name="AutoShape 52"/>
                                    <wps:cNvSpPr/>
                                  </wps:nvSpPr>
                                  <wps:spPr>
                                    <a:xfrm>
                                      <a:off x="0" y="0"/>
                                      <a:ext cx="635040" cy="635040"/>
                                    </a:xfrm>
                                    <a:prstGeom prst="rect">
                                      <a:avLst/>
                                    </a:prstGeom>
                                    <a:noFill/>
                                    <a:ln w="0">
                                      <a:noFill/>
                                    </a:ln>
                                  </wps:spPr>
                                  <wps:bodyPr/>
                                </wps:wsp>
                              </a:graphicData>
                            </a:graphic>
                          </wp:anchor>
                        </w:drawing>
                      </mc:Choice>
                      <mc:Fallback>
                        <w:pict>
                          <v:rect id="shape_0" ID="AutoShape 52" stroked="f" o:allowincell="t" style="position:absolute;margin-left:0.05pt;margin-top:0pt;width:49.95pt;height:49.95pt;mso-wrap-style:none;v-text-anchor:middle">
                            <v:fill o:detectmouseclick="t" on="false"/>
                            <v:stroke color="#3465a4" joinstyle="round" endcap="flat"/>
                            <w10:wrap type="none"/>
                          </v:rect>
                        </w:pict>
                      </mc:Fallback>
                    </mc:AlternateContent>
                    <w:drawing>
                      <wp:inline distT="0" distB="0" distL="0" distR="0">
                        <wp:extent cx="228600" cy="228600"/>
                        <wp:effectExtent l="0" t="0" r="0" b="0"/>
                        <wp:docPr id="9" name="Picture 4"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80">
                            <wp:simplePos x="0" y="0"/>
                            <wp:positionH relativeFrom="column">
                              <wp:posOffset>635</wp:posOffset>
                            </wp:positionH>
                            <wp:positionV relativeFrom="paragraph">
                              <wp:posOffset>635</wp:posOffset>
                            </wp:positionV>
                            <wp:extent cx="635000" cy="635000"/>
                            <wp:effectExtent l="635" t="0" r="0" b="0"/>
                            <wp:wrapNone/>
                            <wp:docPr id="61"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62" name=""/>
                            <a:graphic xmlns:a="http://schemas.openxmlformats.org/drawingml/2006/main">
                              <a:graphicData uri="http://schemas.openxmlformats.org/drawingml/2006/picture">
                                <pic:pic xmlns:pic="http://schemas.openxmlformats.org/drawingml/2006/picture">
                                  <pic:nvPicPr>
                                    <pic:cNvPr id="63"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79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81">
                            <wp:simplePos x="0" y="0"/>
                            <wp:positionH relativeFrom="column">
                              <wp:posOffset>635</wp:posOffset>
                            </wp:positionH>
                            <wp:positionV relativeFrom="paragraph">
                              <wp:posOffset>635</wp:posOffset>
                            </wp:positionV>
                            <wp:extent cx="635000" cy="635000"/>
                            <wp:effectExtent l="635" t="0" r="0" b="0"/>
                            <wp:wrapNone/>
                            <wp:docPr id="64"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65" name=""/>
                            <a:graphic xmlns:a="http://schemas.openxmlformats.org/drawingml/2006/main">
                              <a:graphicData uri="http://schemas.openxmlformats.org/drawingml/2006/picture">
                                <pic:pic xmlns:pic="http://schemas.openxmlformats.org/drawingml/2006/picture">
                                  <pic:nvPicPr>
                                    <pic:cNvPr id="66"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80</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82">
                            <wp:simplePos x="0" y="0"/>
                            <wp:positionH relativeFrom="column">
                              <wp:posOffset>635</wp:posOffset>
                            </wp:positionH>
                            <wp:positionV relativeFrom="paragraph">
                              <wp:posOffset>635</wp:posOffset>
                            </wp:positionV>
                            <wp:extent cx="635000" cy="635000"/>
                            <wp:effectExtent l="635" t="0" r="0" b="0"/>
                            <wp:wrapNone/>
                            <wp:docPr id="67"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68" name=""/>
                            <a:graphic xmlns:a="http://schemas.openxmlformats.org/drawingml/2006/main">
                              <a:graphicData uri="http://schemas.openxmlformats.org/drawingml/2006/picture">
                                <pic:pic xmlns:pic="http://schemas.openxmlformats.org/drawingml/2006/picture">
                                  <pic:nvPicPr>
                                    <pic:cNvPr id="69"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81</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83">
                            <wp:simplePos x="0" y="0"/>
                            <wp:positionH relativeFrom="column">
                              <wp:posOffset>635</wp:posOffset>
                            </wp:positionH>
                            <wp:positionV relativeFrom="paragraph">
                              <wp:posOffset>635</wp:posOffset>
                            </wp:positionV>
                            <wp:extent cx="635000" cy="635000"/>
                            <wp:effectExtent l="635" t="0" r="0" b="0"/>
                            <wp:wrapNone/>
                            <wp:docPr id="70"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71" name=""/>
                            <a:graphic xmlns:a="http://schemas.openxmlformats.org/drawingml/2006/main">
                              <a:graphicData uri="http://schemas.openxmlformats.org/drawingml/2006/picture">
                                <pic:pic xmlns:pic="http://schemas.openxmlformats.org/drawingml/2006/picture">
                                  <pic:nvPicPr>
                                    <pic:cNvPr id="72"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82</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84">
                            <wp:simplePos x="0" y="0"/>
                            <wp:positionH relativeFrom="column">
                              <wp:posOffset>635</wp:posOffset>
                            </wp:positionH>
                            <wp:positionV relativeFrom="paragraph">
                              <wp:posOffset>635</wp:posOffset>
                            </wp:positionV>
                            <wp:extent cx="635000" cy="635000"/>
                            <wp:effectExtent l="635" t="0" r="0" b="0"/>
                            <wp:wrapNone/>
                            <wp:docPr id="73"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74" name=""/>
                            <a:graphic xmlns:a="http://schemas.openxmlformats.org/drawingml/2006/main">
                              <a:graphicData uri="http://schemas.openxmlformats.org/drawingml/2006/picture">
                                <pic:pic xmlns:pic="http://schemas.openxmlformats.org/drawingml/2006/picture">
                                  <pic:nvPicPr>
                                    <pic:cNvPr id="75"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83</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85">
                            <wp:simplePos x="0" y="0"/>
                            <wp:positionH relativeFrom="column">
                              <wp:posOffset>635</wp:posOffset>
                            </wp:positionH>
                            <wp:positionV relativeFrom="paragraph">
                              <wp:posOffset>635</wp:posOffset>
                            </wp:positionV>
                            <wp:extent cx="635000" cy="635000"/>
                            <wp:effectExtent l="635" t="0" r="0" b="0"/>
                            <wp:wrapNone/>
                            <wp:docPr id="76"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77" name=""/>
                            <a:graphic xmlns:a="http://schemas.openxmlformats.org/drawingml/2006/main">
                              <a:graphicData uri="http://schemas.openxmlformats.org/drawingml/2006/picture">
                                <pic:pic xmlns:pic="http://schemas.openxmlformats.org/drawingml/2006/picture">
                                  <pic:nvPicPr>
                                    <pic:cNvPr id="78"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84</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5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450"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11976"/>
            <w:gridCol w:w="3751"/>
          </w:tblGrid>
          <w:tr>
            <w:trPr>
              <w:trHeight w:val="300" w:hRule="exact"/>
            </w:trPr>
            <w:tc>
              <w:tcPr>
                <w:tcW w:w="390" w:type="dxa"/>
                <w:tcBorders/>
              </w:tcPr>
              <w:p>
                <w:pPr>
                  <w:pStyle w:val="Normal"/>
                  <w:rPr/>
                </w:pPr>
                <w:hyperlink r:id="rId1" w:tgtFrame="Zavod za unapređenje poslovanja">
                  <w:r>
                    <w:rPr/>
                    <mc:AlternateContent>
                      <mc:Choice Requires="wps">
                        <w:drawing>
                          <wp:anchor behindDoc="1" distT="0" distB="0" distL="114300" distR="0" simplePos="0" locked="0" layoutInCell="1" allowOverlap="1" relativeHeight="137">
                            <wp:simplePos x="0" y="0"/>
                            <wp:positionH relativeFrom="column">
                              <wp:posOffset>635</wp:posOffset>
                            </wp:positionH>
                            <wp:positionV relativeFrom="paragraph">
                              <wp:posOffset>635</wp:posOffset>
                            </wp:positionV>
                            <wp:extent cx="635000" cy="635000"/>
                            <wp:effectExtent l="635" t="0" r="0" b="0"/>
                            <wp:wrapNone/>
                            <wp:docPr id="79" name=""/>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shape id="shape_0"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mc:AlternateContent>
                      <mc:Choice Requires="wps">
                        <w:drawing>
                          <wp:inline distT="0" distB="0" distL="0" distR="0">
                            <wp:extent cx="228600" cy="228600"/>
                            <wp:effectExtent l="0" t="0" r="0" b="0"/>
                            <wp:docPr id="80" name=""/>
                            <a:graphic xmlns:a="http://schemas.openxmlformats.org/drawingml/2006/main">
                              <a:graphicData uri="http://schemas.openxmlformats.org/drawingml/2006/picture">
                                <pic:pic xmlns:pic="http://schemas.openxmlformats.org/drawingml/2006/picture">
                                  <pic:nvPicPr>
                                    <pic:cNvPr id="81" name="" descr=""/>
                                    <pic:cNvPicPr/>
                                  </pic:nvPicPr>
                                  <pic:blipFill>
                                    <a:blip r:embed="rId2"/>
                                    <a:stretch/>
                                  </pic:blipFill>
                                  <pic:spPr>
                                    <a:xfrm>
                                      <a:off x="0" y="0"/>
                                      <a:ext cx="228600" cy="228600"/>
                                    </a:xfrm>
                                    <a:prstGeom prst="rect">
                                      <a:avLst/>
                                    </a:prstGeom>
                                    <a:ln w="0">
                                      <a:noFill/>
                                    </a:ln>
                                  </pic:spPr>
                                </pic:pic>
                              </a:graphicData>
                            </a:graphic>
                          </wp:inline>
                        </w:drawing>
                      </mc:Choice>
                      <mc:Fallback>
                        <w:pict>
                          <v:shape id="shape_0" stroked="f" o:allowincell="t" style="position:absolute;margin-left:0pt;margin-top:-18.05pt;width:17.95pt;height:17.95pt;mso-wrap-style:none;v-text-anchor:middle;mso-position-vertical:top" type="_x0000_t75">
                            <v:imagedata r:id="rId3" o:detectmouseclick="t"/>
                            <v:stroke color="#3465a4" joinstyle="round" endcap="flat"/>
                            <w10:wrap type="none"/>
                          </v:shape>
                        </w:pict>
                      </mc:Fallback>
                    </mc:AlternateContent>
                  </w:r>
                </w:hyperlink>
              </w:p>
            </w:tc>
            <w:tc>
              <w:tcPr>
                <w:tcW w:w="11976" w:type="dxa"/>
                <w:tcBorders/>
              </w:tcPr>
              <w:tbl>
                <w:tblPr>
                  <w:tblW w:w="1197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11977"/>
                </w:tblGrid>
                <w:tr>
                  <w:trPr/>
                  <w:tc>
                    <w:tcPr>
                      <w:tcW w:w="11977"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136</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5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0" distL="114300" distR="114300" simplePos="0" locked="0" layoutInCell="1" allowOverlap="1" relativeHeight="145">
                            <wp:simplePos x="0" y="0"/>
                            <wp:positionH relativeFrom="column">
                              <wp:posOffset>635</wp:posOffset>
                            </wp:positionH>
                            <wp:positionV relativeFrom="paragraph">
                              <wp:posOffset>635</wp:posOffset>
                            </wp:positionV>
                            <wp:extent cx="635000" cy="635000"/>
                            <wp:effectExtent l="0" t="0" r="0" b="0"/>
                            <wp:wrapNone/>
                            <wp:docPr id="10" name="AutoShape 50"/>
                            <a:graphic xmlns:a="http://schemas.openxmlformats.org/drawingml/2006/main">
                              <a:graphicData uri="http://schemas.microsoft.com/office/word/2010/wordprocessingShape">
                                <wps:wsp>
                                  <wps:cNvSpPr/>
                                  <wps:nvSpPr>
                                    <wps:cNvPr id="11" name="AutoShape 50"/>
                                    <wps:cNvSpPr/>
                                  </wps:nvSpPr>
                                  <wps:spPr>
                                    <a:xfrm>
                                      <a:off x="0" y="0"/>
                                      <a:ext cx="635040" cy="635040"/>
                                    </a:xfrm>
                                    <a:prstGeom prst="rect">
                                      <a:avLst/>
                                    </a:prstGeom>
                                    <a:noFill/>
                                    <a:ln w="0">
                                      <a:noFill/>
                                    </a:ln>
                                  </wps:spPr>
                                  <wps:bodyPr/>
                                </wps:wsp>
                              </a:graphicData>
                            </a:graphic>
                          </wp:anchor>
                        </w:drawing>
                      </mc:Choice>
                      <mc:Fallback>
                        <w:pict>
                          <v:rect id="shape_0" ID="AutoShape 50" stroked="f" o:allowincell="t" style="position:absolute;margin-left:0.05pt;margin-top:0pt;width:49.95pt;height:49.95pt;mso-wrap-style:none;v-text-anchor:middle">
                            <v:fill o:detectmouseclick="t" on="false"/>
                            <v:stroke color="#3465a4" joinstyle="round" endcap="flat"/>
                            <w10:wrap type="none"/>
                          </v:rect>
                        </w:pict>
                      </mc:Fallback>
                    </mc:AlternateContent>
                    <w:drawing>
                      <wp:inline distT="0" distB="0" distL="0" distR="0">
                        <wp:extent cx="228600" cy="228600"/>
                        <wp:effectExtent l="0" t="0" r="0" b="0"/>
                        <wp:docPr id="12" name="Picture 5"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8</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450"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90"/>
            <w:gridCol w:w="7044"/>
            <w:gridCol w:w="3751"/>
          </w:tblGrid>
          <w:tr>
            <w:trPr/>
            <w:tc>
              <w:tcPr>
                <w:tcW w:w="390" w:type="dxa"/>
                <w:tcBorders/>
              </w:tcPr>
              <w:p>
                <w:pPr>
                  <w:pStyle w:val="Normal"/>
                  <w:rPr/>
                </w:pPr>
                <w:hyperlink r:id="rId1" w:tgtFrame="Zavod za unapređenje poslovanja">
                  <w:r>
                    <w:rPr/>
                    <mc:AlternateContent>
                      <mc:Choice Requires="wps">
                        <w:drawing>
                          <wp:anchor behindDoc="1" distT="0" distB="0" distL="114300" distR="114300" simplePos="0" locked="0" layoutInCell="1" allowOverlap="1" relativeHeight="146">
                            <wp:simplePos x="0" y="0"/>
                            <wp:positionH relativeFrom="column">
                              <wp:posOffset>635</wp:posOffset>
                            </wp:positionH>
                            <wp:positionV relativeFrom="paragraph">
                              <wp:posOffset>635</wp:posOffset>
                            </wp:positionV>
                            <wp:extent cx="635000" cy="635000"/>
                            <wp:effectExtent l="0" t="0" r="0" b="0"/>
                            <wp:wrapNone/>
                            <wp:docPr id="13" name="AutoShape 48"/>
                            <a:graphic xmlns:a="http://schemas.openxmlformats.org/drawingml/2006/main">
                              <a:graphicData uri="http://schemas.microsoft.com/office/word/2010/wordprocessingShape">
                                <wps:wsp>
                                  <wps:cNvSpPr/>
                                  <wps:nvSpPr>
                                    <wps:cNvPr id="14" name="AutoShape 48"/>
                                    <wps:cNvSpPr/>
                                  </wps:nvSpPr>
                                  <wps:spPr>
                                    <a:xfrm>
                                      <a:off x="0" y="0"/>
                                      <a:ext cx="635040" cy="635040"/>
                                    </a:xfrm>
                                    <a:prstGeom prst="rect">
                                      <a:avLst/>
                                    </a:prstGeom>
                                    <a:noFill/>
                                    <a:ln w="0">
                                      <a:noFill/>
                                    </a:ln>
                                  </wps:spPr>
                                  <wps:bodyPr/>
                                </wps:wsp>
                              </a:graphicData>
                            </a:graphic>
                          </wp:anchor>
                        </w:drawing>
                      </mc:Choice>
                      <mc:Fallback>
                        <w:pict>
                          <v:rect id="shape_0" ID="AutoShape 48" stroked="f" o:allowincell="t" style="position:absolute;margin-left:0.05pt;margin-top:0pt;width:49.95pt;height:49.95pt;mso-wrap-style:none;v-text-anchor:middle">
                            <v:fill o:detectmouseclick="t" on="false"/>
                            <v:stroke color="#3465a4" joinstyle="round" endcap="flat"/>
                            <w10:wrap type="none"/>
                          </v:rect>
                        </w:pict>
                      </mc:Fallback>
                    </mc:AlternateContent>
                    <w:drawing>
                      <wp:inline distT="0" distB="0" distL="0" distR="0">
                        <wp:extent cx="228600" cy="228600"/>
                        <wp:effectExtent l="0" t="0" r="0" b="0"/>
                        <wp:docPr id="15" name="Picture 6" descr="ooxWord://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ooxWord://media/image1.PNG"/>
                                <pic:cNvPicPr>
                                  <a:picLocks noChangeAspect="1" noChangeArrowheads="1"/>
                                </pic:cNvPicPr>
                              </pic:nvPicPr>
                              <pic:blipFill>
                                <a:blip r:embed="rId2"/>
                                <a:stretch>
                                  <a:fillRect/>
                                </a:stretch>
                              </pic:blipFill>
                              <pic:spPr bwMode="auto">
                                <a:xfrm>
                                  <a:off x="0" y="0"/>
                                  <a:ext cx="228600" cy="228600"/>
                                </a:xfrm>
                                <a:prstGeom prst="rect">
                                  <a:avLst/>
                                </a:prstGeom>
                              </pic:spPr>
                            </pic:pic>
                          </a:graphicData>
                        </a:graphic>
                      </wp:inline>
                    </w:drawing>
                  </w:r>
                </w:hyperlink>
              </w:p>
            </w:tc>
            <w:tc>
              <w:tcPr>
                <w:tcW w:w="7044" w:type="dxa"/>
                <w:tcBorders/>
                <w:vAlign w:val="center"/>
              </w:tcPr>
              <w:tbl>
                <w:tblPr>
                  <w:tblW w:w="704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7045"/>
                </w:tblGrid>
                <w:tr>
                  <w:trPr/>
                  <w:tc>
                    <w:tcPr>
                      <w:tcW w:w="7045" w:type="dxa"/>
                      <w:tcBorders/>
                    </w:tcPr>
                    <w:p>
                      <w:pPr>
                        <w:pStyle w:val="Normal"/>
                        <w:rPr>
                          <w:color w:val="BBBBBB"/>
                        </w:rPr>
                      </w:pPr>
                      <w:r>
                        <w:rPr>
                          <w:color w:val="BBBBBB"/>
                        </w:rPr>
                        <w:t>2025</w:t>
                      </w:r>
                    </w:p>
                    <w:p>
                      <w:pPr>
                        <w:pStyle w:val="Normal"/>
                        <w:spacing w:lineRule="atLeast" w:line="0"/>
                        <w:rPr/>
                      </w:pPr>
                      <w:r>
                        <w:rPr/>
                      </w:r>
                    </w:p>
                  </w:tc>
                </w:tr>
              </w:tbl>
              <w:p>
                <w:pPr>
                  <w:pStyle w:val="Normal"/>
                  <w:spacing w:lineRule="atLeast" w:line="0"/>
                  <w:rPr/>
                </w:pPr>
                <w:r>
                  <w:rPr/>
                </w:r>
              </w:p>
            </w:tc>
            <w:tc>
              <w:tcPr>
                <w:tcW w:w="3751" w:type="dxa"/>
                <w:tcBorders/>
                <w:vAlign w:val="center"/>
              </w:tcPr>
              <w:p>
                <w:pPr>
                  <w:pStyle w:val="Normal"/>
                  <w:jc w:val="right"/>
                  <w:rPr>
                    <w:vanish/>
                  </w:rPr>
                </w:pPr>
                <w:r>
                  <w:rPr>
                    <w:vanish/>
                  </w:rPr>
                </w:r>
              </w:p>
              <w:tbl>
                <w:tblPr>
                  <w:tblW w:w="2998"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786"/>
                  <w:gridCol w:w="787"/>
                  <w:gridCol w:w="638"/>
                  <w:gridCol w:w="786"/>
                </w:tblGrid>
                <w:tr>
                  <w:trPr/>
                  <w:tc>
                    <w:tcPr>
                      <w:tcW w:w="786" w:type="dxa"/>
                      <w:tcBorders/>
                    </w:tcPr>
                    <w:p>
                      <w:pPr>
                        <w:pStyle w:val="Normal"/>
                        <w:jc w:val="right"/>
                        <w:rPr>
                          <w:color w:val="000000"/>
                        </w:rPr>
                      </w:pPr>
                      <w:r>
                        <w:rPr>
                          <w:color w:val="000000"/>
                        </w:rPr>
                        <w:t>Страна</w:t>
                      </w:r>
                    </w:p>
                  </w:tc>
                  <w:tc>
                    <w:tcPr>
                      <w:tcW w:w="787" w:type="dxa"/>
                      <w:tcBorders/>
                    </w:tcPr>
                    <w:p>
                      <w:pPr>
                        <w:pStyle w:val="Normal"/>
                        <w:jc w:val="right"/>
                        <w:rPr>
                          <w:color w:val="000000"/>
                        </w:rPr>
                      </w:pPr>
                      <w:r>
                        <w:rPr/>
                        <w:fldChar w:fldCharType="begin"/>
                      </w:r>
                      <w:r>
                        <w:rPr/>
                        <w:instrText xml:space="preserve"> PAGE </w:instrText>
                      </w:r>
                      <w:r>
                        <w:rPr/>
                        <w:fldChar w:fldCharType="separate"/>
                      </w:r>
                      <w:r>
                        <w:rPr/>
                        <w:t>9</w:t>
                      </w:r>
                      <w:r>
                        <w:rPr/>
                        <w:fldChar w:fldCharType="end"/>
                      </w:r>
                    </w:p>
                  </w:tc>
                  <w:tc>
                    <w:tcPr>
                      <w:tcW w:w="638" w:type="dxa"/>
                      <w:tcBorders/>
                    </w:tcPr>
                    <w:p>
                      <w:pPr>
                        <w:pStyle w:val="Normal"/>
                        <w:jc w:val="center"/>
                        <w:rPr>
                          <w:color w:val="000000"/>
                        </w:rPr>
                      </w:pPr>
                      <w:r>
                        <w:rPr>
                          <w:color w:val="000000"/>
                        </w:rPr>
                        <w:t>од</w:t>
                      </w:r>
                    </w:p>
                  </w:tc>
                  <w:tc>
                    <w:tcPr>
                      <w:tcW w:w="786" w:type="dxa"/>
                      <w:tcBorders/>
                    </w:tcPr>
                    <w:p>
                      <w:pPr>
                        <w:pStyle w:val="Normal"/>
                        <w:rPr>
                          <w:color w:val="000000"/>
                        </w:rPr>
                      </w:pPr>
                      <w:r>
                        <w:rPr/>
                        <w:fldChar w:fldCharType="begin"/>
                      </w:r>
                      <w:r>
                        <w:rPr/>
                        <w:instrText xml:space="preserve"> NUMPAGES </w:instrText>
                      </w:r>
                      <w:r>
                        <w:rPr/>
                        <w:fldChar w:fldCharType="separate"/>
                      </w:r>
                      <w:r>
                        <w:rPr/>
                        <w:t>136</w:t>
                      </w:r>
                      <w:r>
                        <w:rPr/>
                        <w:fldChar w:fldCharType="end"/>
                      </w:r>
                    </w:p>
                  </w:tc>
                </w:tr>
              </w:tbl>
              <w:p>
                <w:pPr>
                  <w:pStyle w:val="Normal"/>
                  <w:spacing w:lineRule="atLeast" w:line="0"/>
                  <w:rPr/>
                </w:pPr>
                <w:r>
                  <w:rPr/>
                </w:r>
              </w:p>
            </w:tc>
          </w:tr>
        </w:tbl>
        <w:p>
          <w:pPr>
            <w:pStyle w:val="Normal"/>
            <w:spacing w:lineRule="atLeast" w:line="0"/>
            <w:rPr/>
          </w:pPr>
          <w:r>
            <w:rPr/>
          </w:r>
        </w:p>
      </w:tc>
    </w:tr>
  </w:tbl>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p>
                <w:pPr>
                  <w:pStyle w:val="Normal"/>
                  <w:spacing w:lineRule="atLeast" w:line="0"/>
                  <w:rPr/>
                </w:pPr>
                <w:r>
                  <w:rPr/>
                </w:r>
              </w:p>
            </w:tc>
          </w:tr>
        </w:tbl>
        <w:p>
          <w:pPr>
            <w:pStyle w:val="Normal"/>
            <w:spacing w:lineRule="atLeast" w:line="0"/>
            <w:rPr/>
          </w:pPr>
          <w:r>
            <w:rPr/>
          </w:r>
        </w:p>
      </w:tc>
    </w:tr>
  </w:tbl>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p>
                <w:pPr>
                  <w:pStyle w:val="Normal"/>
                  <w:spacing w:lineRule="atLeast" w:line="0"/>
                  <w:rPr/>
                </w:pPr>
                <w:r>
                  <w:rPr/>
                </w:r>
              </w:p>
            </w:tc>
          </w:tr>
        </w:tbl>
        <w:p>
          <w:pPr>
            <w:pStyle w:val="Normal"/>
            <w:spacing w:lineRule="atLeast" w:line="0"/>
            <w:rPr/>
          </w:pPr>
          <w:r>
            <w:rPr/>
          </w:r>
        </w:p>
      </w:tc>
    </w:tr>
  </w:tbl>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p>
                <w:pPr>
                  <w:pStyle w:val="Normal"/>
                  <w:spacing w:lineRule="atLeast" w:line="0"/>
                  <w:rPr/>
                </w:pPr>
                <w:r>
                  <w:rPr/>
                </w:r>
              </w:p>
            </w:tc>
          </w:tr>
        </w:tbl>
        <w:p>
          <w:pPr>
            <w:pStyle w:val="Normal"/>
            <w:spacing w:lineRule="atLeast" w:line="0"/>
            <w:rPr/>
          </w:pPr>
          <w:r>
            <w:rPr/>
          </w:r>
        </w:p>
      </w:tc>
    </w:tr>
  </w:tbl>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3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p>
                <w:pPr>
                  <w:pStyle w:val="Normal"/>
                  <w:spacing w:lineRule="atLeast" w:line="0"/>
                  <w:rPr/>
                </w:pPr>
                <w:r>
                  <w:rPr/>
                </w:r>
              </w:p>
            </w:tc>
          </w:tr>
        </w:tbl>
        <w:p>
          <w:pPr>
            <w:pStyle w:val="Normal"/>
            <w:spacing w:lineRule="atLeast" w:line="0"/>
            <w:rPr/>
          </w:pPr>
          <w:r>
            <w:rPr/>
          </w:r>
        </w:p>
      </w:tc>
    </w:tr>
  </w:tbl>
</w:hdr>
</file>

<file path=word/header3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3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pPr>
                      <w:r>
                        <w:rPr/>
                      </w:r>
                    </w:p>
                  </w:tc>
                </w:tr>
              </w:tbl>
              <w:p>
                <w:pPr>
                  <w:pStyle w:val="Normal"/>
                  <w:spacing w:lineRule="atLeast" w:line="0"/>
                  <w:rPr/>
                </w:pPr>
                <w:r>
                  <w:rPr/>
                </w:r>
              </w:p>
            </w:tc>
          </w:tr>
        </w:tbl>
        <w:p>
          <w:pPr>
            <w:pStyle w:val="Normal"/>
            <w:spacing w:lineRule="atLeast" w:line="0"/>
            <w:rPr/>
          </w:pPr>
          <w:r>
            <w:rPr/>
          </w:r>
        </w:p>
      </w:tc>
    </w:tr>
  </w:tbl>
</w:hdr>
</file>

<file path=word/header3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4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4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4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4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4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jc w:val="right"/>
                        <w:rPr>
                          <w:b/>
                          <w:bCs/>
                          <w:color w:val="000000"/>
                        </w:rPr>
                      </w:pPr>
                      <w:r>
                        <w:rPr>
                          <w:b/>
                          <w:bCs/>
                          <w:color w:val="000000"/>
                        </w:rPr>
                      </w:r>
                    </w:p>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4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5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332"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6332"/>
    </w:tblGrid>
    <w:tr>
      <w:trPr>
        <w:trHeight w:val="375" w:hRule="atLeast"/>
      </w:trPr>
      <w:tc>
        <w:tcPr>
          <w:tcW w:w="16332" w:type="dxa"/>
          <w:tcBorders/>
        </w:tcPr>
        <w:p>
          <w:pPr>
            <w:pStyle w:val="Normal"/>
            <w:rPr>
              <w:vanish/>
            </w:rPr>
          </w:pPr>
          <w:r>
            <w:rPr>
              <w:vanish/>
            </w:rPr>
          </w:r>
        </w:p>
        <w:tbl>
          <w:tblPr>
            <w:tblW w:w="16117"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5808"/>
            <w:gridCol w:w="4500"/>
            <w:gridCol w:w="5809"/>
          </w:tblGrid>
          <w:tr>
            <w:trPr>
              <w:trHeight w:val="375" w:hRule="exact"/>
            </w:trPr>
            <w:tc>
              <w:tcPr>
                <w:tcW w:w="5808" w:type="dxa"/>
                <w:tcBorders/>
              </w:tcPr>
              <w:p>
                <w:pPr>
                  <w:pStyle w:val="Normal"/>
                  <w:rPr>
                    <w:b/>
                    <w:bCs/>
                    <w:color w:val="000000"/>
                  </w:rPr>
                </w:pPr>
                <w:r>
                  <w:rPr>
                    <w:b/>
                    <w:bCs/>
                    <w:color w:val="000000"/>
                  </w:rPr>
                  <w:t>Буџет 2026</w:t>
                </w:r>
              </w:p>
            </w:tc>
            <w:tc>
              <w:tcPr>
                <w:tcW w:w="4500" w:type="dxa"/>
                <w:tcBorders/>
              </w:tcPr>
              <w:p>
                <w:pPr>
                  <w:pStyle w:val="Normal"/>
                  <w:spacing w:lineRule="atLeast" w:line="0"/>
                  <w:rPr/>
                </w:pPr>
                <w:r>
                  <w:rPr/>
                </w:r>
              </w:p>
            </w:tc>
            <w:tc>
              <w:tcPr>
                <w:tcW w:w="5809" w:type="dxa"/>
                <w:tcBorders/>
              </w:tcPr>
              <w:tbl>
                <w:tblPr>
                  <w:tblW w:w="5809" w:type="dxa"/>
                  <w:jc w:val="right"/>
                  <w:tblInd w:w="0" w:type="dxa"/>
                  <w:tblLayout w:type="fixed"/>
                  <w:tblCellMar>
                    <w:top w:w="0" w:type="dxa"/>
                    <w:left w:w="0" w:type="dxa"/>
                    <w:bottom w:w="0" w:type="dxa"/>
                    <w:right w:w="0" w:type="dxa"/>
                  </w:tblCellMar>
                  <w:tblLook w:firstRow="1" w:noVBand="0" w:lastRow="1" w:firstColumn="1" w:lastColumn="1" w:noHBand="0" w:val="01e0"/>
                </w:tblPr>
                <w:tblGrid>
                  <w:gridCol w:w="5809"/>
                </w:tblGrid>
                <w:tr>
                  <w:trPr/>
                  <w:tc>
                    <w:tcPr>
                      <w:tcW w:w="5809" w:type="dxa"/>
                      <w:tcBorders/>
                    </w:tcPr>
                    <w:p>
                      <w:pPr>
                        <w:pStyle w:val="Normal"/>
                        <w:spacing w:lineRule="atLeast" w:line="0"/>
                        <w:rPr/>
                      </w:pPr>
                      <w:r>
                        <w:rPr/>
                      </w:r>
                    </w:p>
                  </w:tc>
                </w:tr>
              </w:tbl>
              <w:p>
                <w:pPr>
                  <w:pStyle w:val="Normal"/>
                  <w:spacing w:lineRule="atLeast" w:line="0"/>
                  <w:rPr/>
                </w:pPr>
                <w:r>
                  <w:rPr/>
                </w:r>
              </w:p>
            </w:tc>
          </w:tr>
        </w:tbl>
        <w:p>
          <w:pPr>
            <w:pStyle w:val="Normal"/>
            <w:spacing w:lineRule="atLeast" w:line="0"/>
            <w:rPr/>
          </w:pPr>
          <w:r>
            <w:rPr/>
          </w:r>
        </w:p>
      </w:tc>
    </w:tr>
  </w:tbl>
</w:hdr>
</file>

<file path=word/header5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40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11400"/>
    </w:tblGrid>
    <w:tr>
      <w:trPr>
        <w:trHeight w:val="375" w:hRule="atLeast"/>
      </w:trPr>
      <w:tc>
        <w:tcPr>
          <w:tcW w:w="11400" w:type="dxa"/>
          <w:tcBorders/>
        </w:tcPr>
        <w:p>
          <w:pPr>
            <w:pStyle w:val="Normal"/>
            <w:rPr>
              <w:vanish/>
            </w:rPr>
          </w:pPr>
          <w:r>
            <w:rPr>
              <w:vanish/>
            </w:rPr>
          </w:r>
        </w:p>
        <w:tbl>
          <w:tblPr>
            <w:tblW w:w="11185" w:type="dxa"/>
            <w:jc w:val="left"/>
            <w:tblInd w:w="0" w:type="dxa"/>
            <w:tblLayout w:type="fixed"/>
            <w:tblCellMar>
              <w:top w:w="0" w:type="dxa"/>
              <w:left w:w="0" w:type="dxa"/>
              <w:bottom w:w="0" w:type="dxa"/>
              <w:right w:w="0" w:type="dxa"/>
            </w:tblCellMar>
            <w:tblLook w:firstRow="1" w:noVBand="0" w:lastRow="1" w:firstColumn="1" w:lastColumn="1" w:noHBand="0" w:val="01e0"/>
          </w:tblPr>
          <w:tblGrid>
            <w:gridCol w:w="3728"/>
            <w:gridCol w:w="3728"/>
            <w:gridCol w:w="3729"/>
          </w:tblGrid>
          <w:tr>
            <w:trPr/>
            <w:tc>
              <w:tcPr>
                <w:tcW w:w="3728" w:type="dxa"/>
                <w:tcBorders/>
              </w:tcPr>
              <w:p>
                <w:pPr>
                  <w:pStyle w:val="Normal"/>
                  <w:rPr>
                    <w:b/>
                    <w:bCs/>
                    <w:color w:val="000000"/>
                  </w:rPr>
                </w:pPr>
                <w:r>
                  <w:rPr>
                    <w:b/>
                    <w:bCs/>
                    <w:color w:val="000000"/>
                  </w:rPr>
                  <w:t>Буџет 2026</w:t>
                </w:r>
              </w:p>
            </w:tc>
            <w:tc>
              <w:tcPr>
                <w:tcW w:w="3728" w:type="dxa"/>
                <w:tcBorders/>
              </w:tcPr>
              <w:p>
                <w:pPr>
                  <w:pStyle w:val="Normal"/>
                  <w:spacing w:lineRule="atLeast" w:line="0"/>
                  <w:rPr/>
                </w:pPr>
                <w:r>
                  <w:rPr/>
                </w:r>
              </w:p>
            </w:tc>
            <w:tc>
              <w:tcPr>
                <w:tcW w:w="3729" w:type="dxa"/>
                <w:tcBorders/>
              </w:tcPr>
              <w:p>
                <w:pPr>
                  <w:pStyle w:val="Normal"/>
                  <w:spacing w:lineRule="atLeast" w:line="0"/>
                  <w:rPr/>
                </w:pPr>
                <w:r>
                  <w:rPr/>
                </w:r>
              </w:p>
            </w:tc>
          </w:tr>
        </w:tbl>
        <w:p>
          <w:pPr>
            <w:pStyle w:val="Normal"/>
            <w:spacing w:lineRule="atLeast" w:line="0"/>
            <w:rPr/>
          </w:pPr>
          <w:r>
            <w:rPr/>
          </w:r>
        </w:p>
      </w:tc>
    </w:tr>
  </w:tbl>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zh-CN"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0"/>
      <w:szCs w:val="20"/>
      <w:lang w:val="en-US" w:eastAsia="zh-CN" w:bidi="ar-SA"/>
    </w:rPr>
  </w:style>
  <w:style w:type="character" w:styleId="DefaultParagraphFont" w:default="1">
    <w:name w:val="Default Paragraph Font"/>
    <w:uiPriority w:val="1"/>
    <w:semiHidden/>
    <w:unhideWhenUsed/>
    <w:qFormat/>
    <w:rPr/>
  </w:style>
  <w:style w:type="character" w:styleId="Hyperlink">
    <w:name w:val="Hyperlink"/>
    <w:rPr>
      <w:color w:val="0000FF"/>
      <w:u w:val="single"/>
    </w:rPr>
  </w:style>
  <w:style w:type="character" w:styleId="Strong">
    <w:name w:val="Strong"/>
    <w:basedOn w:val="DefaultParagraphFont"/>
    <w:uiPriority w:val="22"/>
    <w:qFormat/>
    <w:rPr>
      <w:b/>
      <w:bCs/>
    </w:rPr>
  </w:style>
  <w:style w:type="character" w:styleId="BalloonTextChar" w:customStyle="1">
    <w:name w:val="Balloon Text Char"/>
    <w:basedOn w:val="DefaultParagraphFont"/>
    <w:link w:val="BalloonText"/>
    <w:uiPriority w:val="99"/>
    <w:semiHidden/>
    <w:qFormat/>
    <w:rsid w:val="006c48c0"/>
    <w:rPr>
      <w:rFonts w:ascii="Tahoma" w:hAnsi="Tahoma" w:cs="Tahoma"/>
      <w:sz w:val="16"/>
      <w:szCs w:val="16"/>
    </w:rPr>
  </w:style>
  <w:style w:type="character" w:styleId="HeaderChar" w:customStyle="1">
    <w:name w:val="Header Char"/>
    <w:basedOn w:val="DefaultParagraphFont"/>
    <w:link w:val="Header"/>
    <w:uiPriority w:val="99"/>
    <w:qFormat/>
    <w:rsid w:val="00d23f3d"/>
    <w:rPr/>
  </w:style>
  <w:style w:type="character" w:styleId="FooterChar" w:customStyle="1">
    <w:name w:val="Footer Char"/>
    <w:basedOn w:val="DefaultParagraphFont"/>
    <w:link w:val="Footer"/>
    <w:uiPriority w:val="99"/>
    <w:qFormat/>
    <w:rsid w:val="00d23f3d"/>
    <w:rPr/>
  </w:style>
  <w:style w:type="paragraph" w:styleId="Heading">
    <w:name w:val="Heading"/>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NormalWeb">
    <w:name w:val="Normal (Web)"/>
    <w:basedOn w:val="Normal"/>
    <w:uiPriority w:val="99"/>
    <w:unhideWhenUsed/>
    <w:qFormat/>
    <w:pPr>
      <w:spacing w:beforeAutospacing="1" w:afterAutospacing="1"/>
    </w:pPr>
    <w:rPr>
      <w:rFonts w:eastAsia="" w:eastAsiaTheme="minorEastAsia"/>
      <w:sz w:val="24"/>
      <w:szCs w:val="24"/>
      <w:lang w:eastAsia="en-US"/>
    </w:rPr>
  </w:style>
  <w:style w:type="paragraph" w:styleId="BalloonText">
    <w:name w:val="Balloon Text"/>
    <w:basedOn w:val="Normal"/>
    <w:link w:val="BalloonTextChar"/>
    <w:uiPriority w:val="99"/>
    <w:semiHidden/>
    <w:unhideWhenUsed/>
    <w:qFormat/>
    <w:rsid w:val="006c48c0"/>
    <w:pPr/>
    <w:rPr>
      <w:rFonts w:ascii="Tahoma" w:hAnsi="Tahoma" w:cs="Tahoma"/>
      <w:sz w:val="16"/>
      <w:szCs w:val="16"/>
    </w:rPr>
  </w:style>
  <w:style w:type="paragraph" w:styleId="HeaderandFooter">
    <w:name w:val="Header and Footer"/>
    <w:basedOn w:val="Normal"/>
    <w:qFormat/>
    <w:pPr/>
    <w:rPr/>
  </w:style>
  <w:style w:type="paragraph" w:styleId="Header">
    <w:name w:val="Header"/>
    <w:basedOn w:val="Normal"/>
    <w:link w:val="HeaderChar"/>
    <w:uiPriority w:val="99"/>
    <w:unhideWhenUsed/>
    <w:rsid w:val="00d23f3d"/>
    <w:pPr>
      <w:tabs>
        <w:tab w:val="clear" w:pos="720"/>
        <w:tab w:val="center" w:pos="4680" w:leader="none"/>
        <w:tab w:val="right" w:pos="9360" w:leader="none"/>
      </w:tabs>
    </w:pPr>
    <w:rPr/>
  </w:style>
  <w:style w:type="paragraph" w:styleId="Footer">
    <w:name w:val="Footer"/>
    <w:basedOn w:val="Normal"/>
    <w:link w:val="FooterChar"/>
    <w:uiPriority w:val="99"/>
    <w:unhideWhenUsed/>
    <w:rsid w:val="00d23f3d"/>
    <w:pPr>
      <w:tabs>
        <w:tab w:val="clear" w:pos="720"/>
        <w:tab w:val="center" w:pos="4680" w:leader="none"/>
        <w:tab w:val="right" w:pos="9360" w:leader="none"/>
      </w:tabs>
    </w:pPr>
    <w:rPr/>
  </w:style>
  <w:style w:type="paragraph" w:styleId="ListParagraph">
    <w:name w:val="List Paragraph"/>
    <w:basedOn w:val="Normal"/>
    <w:uiPriority w:val="34"/>
    <w:qFormat/>
    <w:rsid w:val="00d23f3d"/>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header" Target="header7.xml"/><Relationship Id="rId14" Type="http://schemas.openxmlformats.org/officeDocument/2006/relationships/footer" Target="footer6.xml"/><Relationship Id="rId15" Type="http://schemas.openxmlformats.org/officeDocument/2006/relationships/footer" Target="foot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header" Target="header10.xml"/><Relationship Id="rId21" Type="http://schemas.openxmlformats.org/officeDocument/2006/relationships/header" Target="header11.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2.xml"/><Relationship Id="rId25" Type="http://schemas.openxmlformats.org/officeDocument/2006/relationships/header" Target="header13.xml"/><Relationship Id="rId26" Type="http://schemas.openxmlformats.org/officeDocument/2006/relationships/footer" Target="footer12.xml"/><Relationship Id="rId27" Type="http://schemas.openxmlformats.org/officeDocument/2006/relationships/footer" Target="footer13.xml"/><Relationship Id="rId28" Type="http://schemas.openxmlformats.org/officeDocument/2006/relationships/header" Target="header14.xml"/><Relationship Id="rId29" Type="http://schemas.openxmlformats.org/officeDocument/2006/relationships/header" Target="header15.xml"/><Relationship Id="rId30" Type="http://schemas.openxmlformats.org/officeDocument/2006/relationships/footer" Target="footer14.xml"/><Relationship Id="rId31" Type="http://schemas.openxmlformats.org/officeDocument/2006/relationships/footer" Target="footer15.xml"/><Relationship Id="rId32" Type="http://schemas.openxmlformats.org/officeDocument/2006/relationships/header" Target="header16.xml"/><Relationship Id="rId33" Type="http://schemas.openxmlformats.org/officeDocument/2006/relationships/header" Target="header17.xml"/><Relationship Id="rId34" Type="http://schemas.openxmlformats.org/officeDocument/2006/relationships/footer" Target="footer16.xml"/><Relationship Id="rId35" Type="http://schemas.openxmlformats.org/officeDocument/2006/relationships/footer" Target="footer17.xml"/><Relationship Id="rId36" Type="http://schemas.openxmlformats.org/officeDocument/2006/relationships/header" Target="header18.xml"/><Relationship Id="rId37" Type="http://schemas.openxmlformats.org/officeDocument/2006/relationships/header" Target="header19.xml"/><Relationship Id="rId38" Type="http://schemas.openxmlformats.org/officeDocument/2006/relationships/footer" Target="footer18.xml"/><Relationship Id="rId39" Type="http://schemas.openxmlformats.org/officeDocument/2006/relationships/footer" Target="footer19.xml"/><Relationship Id="rId40" Type="http://schemas.openxmlformats.org/officeDocument/2006/relationships/header" Target="header20.xml"/><Relationship Id="rId41" Type="http://schemas.openxmlformats.org/officeDocument/2006/relationships/header" Target="header21.xml"/><Relationship Id="rId42" Type="http://schemas.openxmlformats.org/officeDocument/2006/relationships/footer" Target="footer20.xml"/><Relationship Id="rId43" Type="http://schemas.openxmlformats.org/officeDocument/2006/relationships/footer" Target="footer21.xml"/><Relationship Id="rId44" Type="http://schemas.openxmlformats.org/officeDocument/2006/relationships/header" Target="header22.xml"/><Relationship Id="rId45" Type="http://schemas.openxmlformats.org/officeDocument/2006/relationships/header" Target="header23.xml"/><Relationship Id="rId46" Type="http://schemas.openxmlformats.org/officeDocument/2006/relationships/footer" Target="footer22.xml"/><Relationship Id="rId47" Type="http://schemas.openxmlformats.org/officeDocument/2006/relationships/footer" Target="footer23.xml"/><Relationship Id="rId48" Type="http://schemas.openxmlformats.org/officeDocument/2006/relationships/header" Target="header24.xml"/><Relationship Id="rId49" Type="http://schemas.openxmlformats.org/officeDocument/2006/relationships/header" Target="header25.xml"/><Relationship Id="rId50" Type="http://schemas.openxmlformats.org/officeDocument/2006/relationships/footer" Target="footer24.xml"/><Relationship Id="rId51" Type="http://schemas.openxmlformats.org/officeDocument/2006/relationships/footer" Target="footer25.xml"/><Relationship Id="rId52" Type="http://schemas.openxmlformats.org/officeDocument/2006/relationships/header" Target="header26.xml"/><Relationship Id="rId53" Type="http://schemas.openxmlformats.org/officeDocument/2006/relationships/header" Target="header27.xml"/><Relationship Id="rId54" Type="http://schemas.openxmlformats.org/officeDocument/2006/relationships/footer" Target="footer26.xml"/><Relationship Id="rId55" Type="http://schemas.openxmlformats.org/officeDocument/2006/relationships/footer" Target="footer27.xml"/><Relationship Id="rId56" Type="http://schemas.openxmlformats.org/officeDocument/2006/relationships/header" Target="header28.xml"/><Relationship Id="rId57" Type="http://schemas.openxmlformats.org/officeDocument/2006/relationships/header" Target="header29.xml"/><Relationship Id="rId58" Type="http://schemas.openxmlformats.org/officeDocument/2006/relationships/footer" Target="footer28.xml"/><Relationship Id="rId59" Type="http://schemas.openxmlformats.org/officeDocument/2006/relationships/footer" Target="footer29.xml"/><Relationship Id="rId60" Type="http://schemas.openxmlformats.org/officeDocument/2006/relationships/header" Target="header30.xml"/><Relationship Id="rId61" Type="http://schemas.openxmlformats.org/officeDocument/2006/relationships/header" Target="header31.xml"/><Relationship Id="rId62" Type="http://schemas.openxmlformats.org/officeDocument/2006/relationships/footer" Target="footer30.xml"/><Relationship Id="rId63" Type="http://schemas.openxmlformats.org/officeDocument/2006/relationships/footer" Target="footer31.xml"/><Relationship Id="rId64" Type="http://schemas.openxmlformats.org/officeDocument/2006/relationships/header" Target="header32.xml"/><Relationship Id="rId65" Type="http://schemas.openxmlformats.org/officeDocument/2006/relationships/header" Target="header33.xml"/><Relationship Id="rId66" Type="http://schemas.openxmlformats.org/officeDocument/2006/relationships/footer" Target="footer32.xml"/><Relationship Id="rId67" Type="http://schemas.openxmlformats.org/officeDocument/2006/relationships/footer" Target="footer33.xml"/><Relationship Id="rId68" Type="http://schemas.openxmlformats.org/officeDocument/2006/relationships/header" Target="header34.xml"/><Relationship Id="rId69" Type="http://schemas.openxmlformats.org/officeDocument/2006/relationships/header" Target="header35.xml"/><Relationship Id="rId70" Type="http://schemas.openxmlformats.org/officeDocument/2006/relationships/footer" Target="footer34.xml"/><Relationship Id="rId71" Type="http://schemas.openxmlformats.org/officeDocument/2006/relationships/footer" Target="footer35.xml"/><Relationship Id="rId72" Type="http://schemas.openxmlformats.org/officeDocument/2006/relationships/header" Target="header36.xml"/><Relationship Id="rId73" Type="http://schemas.openxmlformats.org/officeDocument/2006/relationships/header" Target="header37.xml"/><Relationship Id="rId74" Type="http://schemas.openxmlformats.org/officeDocument/2006/relationships/footer" Target="footer36.xml"/><Relationship Id="rId75" Type="http://schemas.openxmlformats.org/officeDocument/2006/relationships/footer" Target="footer37.xml"/><Relationship Id="rId76" Type="http://schemas.openxmlformats.org/officeDocument/2006/relationships/header" Target="header38.xml"/><Relationship Id="rId77" Type="http://schemas.openxmlformats.org/officeDocument/2006/relationships/header" Target="header39.xml"/><Relationship Id="rId78" Type="http://schemas.openxmlformats.org/officeDocument/2006/relationships/footer" Target="footer38.xml"/><Relationship Id="rId79" Type="http://schemas.openxmlformats.org/officeDocument/2006/relationships/footer" Target="footer39.xml"/><Relationship Id="rId80" Type="http://schemas.openxmlformats.org/officeDocument/2006/relationships/header" Target="header40.xml"/><Relationship Id="rId81" Type="http://schemas.openxmlformats.org/officeDocument/2006/relationships/header" Target="header41.xml"/><Relationship Id="rId82" Type="http://schemas.openxmlformats.org/officeDocument/2006/relationships/footer" Target="footer40.xml"/><Relationship Id="rId83" Type="http://schemas.openxmlformats.org/officeDocument/2006/relationships/footer" Target="footer41.xml"/><Relationship Id="rId84" Type="http://schemas.openxmlformats.org/officeDocument/2006/relationships/header" Target="header42.xml"/><Relationship Id="rId85" Type="http://schemas.openxmlformats.org/officeDocument/2006/relationships/header" Target="header43.xml"/><Relationship Id="rId86" Type="http://schemas.openxmlformats.org/officeDocument/2006/relationships/footer" Target="footer42.xml"/><Relationship Id="rId87" Type="http://schemas.openxmlformats.org/officeDocument/2006/relationships/footer" Target="footer43.xml"/><Relationship Id="rId88" Type="http://schemas.openxmlformats.org/officeDocument/2006/relationships/header" Target="header44.xml"/><Relationship Id="rId89" Type="http://schemas.openxmlformats.org/officeDocument/2006/relationships/header" Target="header45.xml"/><Relationship Id="rId90" Type="http://schemas.openxmlformats.org/officeDocument/2006/relationships/footer" Target="footer44.xml"/><Relationship Id="rId91" Type="http://schemas.openxmlformats.org/officeDocument/2006/relationships/footer" Target="footer45.xml"/><Relationship Id="rId92" Type="http://schemas.openxmlformats.org/officeDocument/2006/relationships/header" Target="header46.xml"/><Relationship Id="rId93" Type="http://schemas.openxmlformats.org/officeDocument/2006/relationships/header" Target="header47.xml"/><Relationship Id="rId94" Type="http://schemas.openxmlformats.org/officeDocument/2006/relationships/footer" Target="footer46.xml"/><Relationship Id="rId95" Type="http://schemas.openxmlformats.org/officeDocument/2006/relationships/footer" Target="footer47.xml"/><Relationship Id="rId96" Type="http://schemas.openxmlformats.org/officeDocument/2006/relationships/header" Target="header48.xml"/><Relationship Id="rId97" Type="http://schemas.openxmlformats.org/officeDocument/2006/relationships/header" Target="header49.xml"/><Relationship Id="rId98" Type="http://schemas.openxmlformats.org/officeDocument/2006/relationships/footer" Target="footer48.xml"/><Relationship Id="rId99" Type="http://schemas.openxmlformats.org/officeDocument/2006/relationships/footer" Target="footer49.xml"/><Relationship Id="rId100" Type="http://schemas.openxmlformats.org/officeDocument/2006/relationships/header" Target="header50.xml"/><Relationship Id="rId101" Type="http://schemas.openxmlformats.org/officeDocument/2006/relationships/header" Target="header51.xml"/><Relationship Id="rId102" Type="http://schemas.openxmlformats.org/officeDocument/2006/relationships/footer" Target="footer50.xml"/><Relationship Id="rId103" Type="http://schemas.openxmlformats.org/officeDocument/2006/relationships/footer" Target="footer51.xml"/><Relationship Id="rId104" Type="http://schemas.openxmlformats.org/officeDocument/2006/relationships/header" Target="header52.xml"/><Relationship Id="rId105" Type="http://schemas.openxmlformats.org/officeDocument/2006/relationships/header" Target="header53.xml"/><Relationship Id="rId106" Type="http://schemas.openxmlformats.org/officeDocument/2006/relationships/footer" Target="footer52.xml"/><Relationship Id="rId107" Type="http://schemas.openxmlformats.org/officeDocument/2006/relationships/footer" Target="footer53.xml"/><Relationship Id="rId108" Type="http://schemas.openxmlformats.org/officeDocument/2006/relationships/numbering" Target="numbering.xml"/><Relationship Id="rId109" Type="http://schemas.openxmlformats.org/officeDocument/2006/relationships/fontTable" Target="fontTable.xml"/><Relationship Id="rId110" Type="http://schemas.openxmlformats.org/officeDocument/2006/relationships/settings" Target="settings.xml"/><Relationship Id="rId111"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
</Relationships>
</file>

<file path=word/_rels/footer1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1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1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1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1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
</Relationships>
</file>

<file path=word/_rels/footer2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2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2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2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2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3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3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3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3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3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
</Relationships>
</file>

<file path=word/_rels/footer4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4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44.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4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4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50.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52.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Relationship Id="rId3" Type="http://schemas.openxmlformats.org/officeDocument/2006/relationships/image" Target="media/image1.png"/>
</Relationships>
</file>

<file path=word/_rels/footer6.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
</Relationships>
</file>

<file path=word/_rels/footer8.xml.rels><?xml version="1.0" encoding="UTF-8"?>
<Relationships xmlns="http://schemas.openxmlformats.org/package/2006/relationships"><Relationship Id="rId1" Type="http://schemas.openxmlformats.org/officeDocument/2006/relationships/hyperlink" Target="http://www.zup.co.rs/" TargetMode="External"/><Relationship Id="rId2"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113</TotalTime>
  <Application>LibreOffice/7.6.4.1$Windows_X86_64 LibreOffice_project/e19e193f88cd6c0525a17fb7a176ed8e6a3e2aa1</Application>
  <AppVersion>15.0000</AppVersion>
  <Pages>86</Pages>
  <Words>23927</Words>
  <Characters>149075</Characters>
  <CharactersWithSpaces>166477</CharactersWithSpaces>
  <Paragraphs>7625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2025-12-03T13:40:00Z</dcterms:created>
  <dc:creator/>
  <dc:description/>
  <dc:language>sr-Latn-RS</dc:language>
  <cp:lastModifiedBy>Slava Ćirjaković</cp:lastModifiedBy>
  <dcterms:modified xsi:type="dcterms:W3CDTF">2025-12-03T18:49:00Z</dcterms:modified>
  <cp:revision>19</cp:revision>
  <dc:subject/>
  <dc:title>IZVEŠTAJ O BUDŽETU</dc:title>
</cp:coreProperties>
</file>

<file path=docProps/custom.xml><?xml version="1.0" encoding="utf-8"?>
<Properties xmlns="http://schemas.openxmlformats.org/officeDocument/2006/custom-properties" xmlns:vt="http://schemas.openxmlformats.org/officeDocument/2006/docPropsVTypes"/>
</file>